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FAFDE">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bookmarkStart w:id="0" w:name="_GoBack"/>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农业水利</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基于物联网的农田水利智能灌溉与排水一体化系统及方法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以下模块：数据采集模块、控制模块、执行模块、通信模块和远程管理平台；</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发明通过多种传感器全面实时采集农田环境数据，结合智能算法进行分析决策，实现了灌溉与排水的精准化、智能化控制，能够根据农作物实际需求和环境变化自动调节，有效提高农作物产量和质量</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897E3B0">
      <w:pPr>
        <w:ind w:firstLine="56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3" w:type="default"/>
          <w:footerReference r:id="rId4" w:type="default"/>
          <w:pgSz w:w="11906" w:h="16838"/>
          <w:pgMar w:top="1418" w:right="851" w:bottom="851" w:left="1418" w:header="624" w:footer="227" w:gutter="0"/>
          <w:cols w:space="425" w:num="1"/>
          <w:docGrid w:type="lines" w:linePitch="312" w:charSpace="0"/>
        </w:sectPr>
      </w:pPr>
    </w:p>
    <w:p w14:paraId="0FB80B99">
      <w:pPr>
        <w:jc w:val="both"/>
        <w:rPr>
          <w:rFonts w:hint="eastAsia" w:ascii="楷体_GB2312" w:hAnsi="楷体_GB2312" w:eastAsia="楷体_GB2312" w:cs="楷体_GB2312"/>
          <w:color w:val="000000" w:themeColor="text1"/>
          <w:highlight w:val="none"/>
          <w14:textFill>
            <w14:solidFill>
              <w14:schemeClr w14:val="tx1"/>
            </w14:solidFill>
          </w14:textFill>
        </w:rPr>
        <w:sectPr>
          <w:headerReference r:id="rId5" w:type="default"/>
          <w:footerReference r:id="rId6" w:type="default"/>
          <w:pgSz w:w="11906" w:h="16838"/>
          <w:pgMar w:top="1418" w:right="851" w:bottom="851" w:left="1418" w:header="624" w:footer="227" w:gutter="0"/>
          <w:cols w:space="425" w:num="1"/>
          <w:docGrid w:type="lines" w:linePitch="312" w:charSpace="0"/>
        </w:sectPr>
      </w:pPr>
      <w:r>
        <w:rPr>
          <w:color w:val="000000" w:themeColor="text1"/>
          <w14:textFill>
            <w14:solidFill>
              <w14:schemeClr w14:val="tx1"/>
            </w14:solidFill>
          </w14:textFill>
        </w:rPr>
        <w:drawing>
          <wp:inline distT="0" distB="0" distL="114300" distR="114300">
            <wp:extent cx="6114415" cy="3140710"/>
            <wp:effectExtent l="0" t="0" r="635" b="254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4"/>
                    <a:stretch>
                      <a:fillRect/>
                    </a:stretch>
                  </pic:blipFill>
                  <pic:spPr>
                    <a:xfrm>
                      <a:off x="0" y="0"/>
                      <a:ext cx="6114415" cy="3140710"/>
                    </a:xfrm>
                    <a:prstGeom prst="rect">
                      <a:avLst/>
                    </a:prstGeom>
                    <a:noFill/>
                    <a:ln>
                      <a:noFill/>
                    </a:ln>
                  </pic:spPr>
                </pic:pic>
              </a:graphicData>
            </a:graphic>
          </wp:inline>
        </w:drawing>
      </w:r>
    </w:p>
    <w:p w14:paraId="556BB051">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1.</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基于物联网的农田水利智能灌溉与排水一体化系统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，其特征在于：包括</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以下模块：数据采集模块、控制模块、执行模块、通信模块和远程管理平台</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07E59E0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2.根据权利要求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基于物联网的农田水利智能灌溉与排水一体化系统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数据采集模块，包含土壤湿度传感器、气象传感器（风速传感器、风向传感器、降雨量传感器、空气温度传感器、空气湿度传感器）、水位传感器。土壤湿度传感器用于实时采集农田不同深度土壤的含水量；气象传感器实时监测风速、风向、降雨量、空气温度、空气湿度等气象数据；水位传感器实时监测农田沟渠及蓄水池水位，为系统决策提供基础数据</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14CAC88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3.根据权利要求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基于物联网的农田水利智能灌溉与排水一体化系统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控制模块，由中央控制器、灌溉控制器、排水控制器组成。中央控制器接收数据采集模块传输的数据，通过内置的智能算法进行分析处理，生成灌溉或排水指令；灌溉控制器根据中央控制器指令控制灌溉设备的启停和灌溉量；排水控制器根据指令控制排水设备的运行和排水量</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0EA18CCD">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4.根据权利要求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基于物联网的农田水利智能灌溉与排水一体化系统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执行模块</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包括灌溉设备（水泵、电磁阀、喷头、滴灌带等）和排水设备（排水泵、电动闸门等）</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灌溉设备根据灌溉控制器的指令进行灌溉作业；排水设备根据排水控制器的指令进行排水作业。</w:t>
      </w:r>
    </w:p>
    <w:p w14:paraId="28C7D9C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5.根据权利要求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基于物联网的农田水利智能灌溉与排水一体化系统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通信模块</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采用5G、NB-IoT或LoRa等无线通信技术，实现数据采集模块、控制模块和远程管理平台之间的数据传输，确保数据的实时性和稳定性。</w:t>
      </w:r>
    </w:p>
    <w:p w14:paraId="01EA4B6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6.根据权利要求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基于物联网的农田水利智能灌溉与排水一体化系统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远程管理平台</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管理人员通过电脑或移动终端登录远程管理平台，可实时查看农田环境数据、设备运行状态，手动设置灌溉与排水参数，接收系统报警信息，并对系统进行远程配置和管理。</w:t>
      </w:r>
    </w:p>
    <w:p w14:paraId="59F97A14">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7</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基于物联网的农田水利智能灌溉与排水一体化方法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，配套如权利要求1-</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6</w:t>
      </w:r>
      <w:r>
        <w:rPr>
          <w:rFonts w:hint="eastAsia" w:ascii="楷体_GB2312" w:hAnsi="楷体_GB2312" w:eastAsia="楷体_GB2312" w:cs="楷体_GB2312"/>
          <w:color w:val="000000" w:themeColor="text1"/>
          <w:sz w:val="28"/>
          <w:szCs w:val="28"/>
          <w:highlight w:val="none"/>
          <w14:textFill>
            <w14:solidFill>
              <w14:schemeClr w14:val="tx1"/>
            </w14:solidFill>
          </w14:textFill>
        </w:rPr>
        <w:t>任意一项所述的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基于物联网的农田水利智能灌溉与排水一体化系统</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包括以下步骤：</w:t>
      </w:r>
    </w:p>
    <w:p w14:paraId="7BB5A5A1">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S1、</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数据采集</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5666CCC8">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S2、</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数据分析与决策</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6EE8D9BB">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S3、</w:t>
      </w:r>
      <w:r>
        <w:rPr>
          <w:rFonts w:hint="eastAsia" w:ascii="楷体_GB2312" w:hAnsi="楷体_GB2312" w:eastAsia="楷体_GB2312" w:cs="楷体_GB2312"/>
          <w:color w:val="000000" w:themeColor="text1"/>
          <w:sz w:val="28"/>
          <w:szCs w:val="28"/>
          <w:highlight w:val="none"/>
          <w14:textFill>
            <w14:solidFill>
              <w14:schemeClr w14:val="tx1"/>
            </w14:solidFill>
          </w14:textFill>
        </w:rPr>
        <w:t>执行控制</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49BF908D">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S4、</w:t>
      </w:r>
      <w:r>
        <w:rPr>
          <w:rFonts w:hint="eastAsia" w:ascii="楷体_GB2312" w:hAnsi="楷体_GB2312" w:eastAsia="楷体_GB2312" w:cs="楷体_GB2312"/>
          <w:color w:val="000000" w:themeColor="text1"/>
          <w:sz w:val="28"/>
          <w:szCs w:val="28"/>
          <w:highlight w:val="none"/>
          <w14:textFill>
            <w14:solidFill>
              <w14:schemeClr w14:val="tx1"/>
            </w14:solidFill>
          </w14:textFill>
        </w:rPr>
        <w:t>实时监测与反馈</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4751959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S5、</w:t>
      </w:r>
      <w:r>
        <w:rPr>
          <w:rFonts w:hint="eastAsia" w:ascii="楷体_GB2312" w:hAnsi="楷体_GB2312" w:eastAsia="楷体_GB2312" w:cs="楷体_GB2312"/>
          <w:color w:val="000000" w:themeColor="text1"/>
          <w:sz w:val="28"/>
          <w:szCs w:val="28"/>
          <w:highlight w:val="none"/>
          <w14:textFill>
            <w14:solidFill>
              <w14:schemeClr w14:val="tx1"/>
            </w14:solidFill>
          </w14:textFill>
        </w:rPr>
        <w:t>远程管理与优化。</w:t>
      </w:r>
    </w:p>
    <w:p w14:paraId="7E2E39D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8</w:t>
      </w:r>
      <w:r>
        <w:rPr>
          <w:rFonts w:hint="eastAsia" w:ascii="楷体_GB2312" w:hAnsi="楷体_GB2312" w:eastAsia="楷体_GB2312" w:cs="楷体_GB2312"/>
          <w:color w:val="000000" w:themeColor="text1"/>
          <w:sz w:val="28"/>
          <w:szCs w:val="28"/>
          <w:highlight w:val="none"/>
          <w14:textFill>
            <w14:solidFill>
              <w14:schemeClr w14:val="tx1"/>
            </w14:solidFill>
          </w14:textFill>
        </w:rPr>
        <w:t>.根据权利要求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7</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基于物联网的农田水利智能灌溉与排水一体化方法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1中，数据采集模块中的各类传感器按照预设的采样频率实时采集农田土壤湿度、气象数据和水位数据，并通过通信模块将数据传输至中央控制器，在所述S2中，中央控制器接收数据后，将土壤湿度数据与农作物生长所需的适宜湿度范围进行对比分析，结合气象数据预测未来一段时间内的降水情况和蒸发量，同时参考水位数据。若土壤湿度低于适宜范围下限，且无有效降水预期，中央控制器生成灌溉指令，根据土壤湿度差值和农作物需水量计算出合理的灌溉量，发送给灌溉控制器；若土壤湿度高于适宜范围上限，或水位超过警戒值，中央控制器生成排水指令，确定排水时间和排水量，发送给排水控制器</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A05F300">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9</w:t>
      </w:r>
      <w:r>
        <w:rPr>
          <w:rFonts w:hint="eastAsia" w:ascii="楷体_GB2312" w:hAnsi="楷体_GB2312" w:eastAsia="楷体_GB2312" w:cs="楷体_GB2312"/>
          <w:color w:val="000000" w:themeColor="text1"/>
          <w:sz w:val="28"/>
          <w:szCs w:val="28"/>
          <w:highlight w:val="none"/>
          <w14:textFill>
            <w14:solidFill>
              <w14:schemeClr w14:val="tx1"/>
            </w14:solidFill>
          </w14:textFill>
        </w:rPr>
        <w:t>.根据权利要求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7</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基于物联网的农田水利智能灌溉与排水一体化方法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3中，灌溉控制器接收到灌溉指令后，控制水泵启动，打开相应的电磁阀，根据计算出的灌溉量调节喷头或滴灌带的出水流量，进行精准灌溉；排水控制器接收到排水指令后，启动排水泵，打开电动闸门，按照确定的排水量进行排水作业，在所述S4中，在灌溉或排水过程中，数据采集模块持续监测土壤湿度、水位等数据，并实时反馈给中央控制器。中央控制器根据反馈数据及时调整灌溉或排水策略，确保农田土壤湿度和水位维持在适宜范围内。若出现设备故障、传感器异常等情况，系统通过通信模块向远程管理平台发送报警信息，提醒管理人员及时处理</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B5D833C">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10</w:t>
      </w:r>
      <w:r>
        <w:rPr>
          <w:rFonts w:hint="eastAsia" w:ascii="楷体_GB2312" w:hAnsi="楷体_GB2312" w:eastAsia="楷体_GB2312" w:cs="楷体_GB2312"/>
          <w:color w:val="000000" w:themeColor="text1"/>
          <w:sz w:val="28"/>
          <w:szCs w:val="28"/>
          <w:highlight w:val="none"/>
          <w14:textFill>
            <w14:solidFill>
              <w14:schemeClr w14:val="tx1"/>
            </w14:solidFill>
          </w14:textFill>
        </w:rPr>
        <w:t>.根据权利要求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7</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基于物联网的农田水利智能灌溉与排水一体化方法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在所述S5中，管理人员可通过远程管理平台对系统进行远程监控和管理，根据实际情况手动调整灌溉与排水参数，优化智能算法，还可查看历史数据，分析农田水利管理效果，为后续决策提供参考</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285E366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7" w:type="default"/>
          <w:footerReference r:id="rId8" w:type="default"/>
          <w:pgSz w:w="11906" w:h="16838"/>
          <w:pgMar w:top="1418" w:right="851" w:bottom="851" w:left="1418" w:header="624" w:footer="227" w:gutter="0"/>
          <w:pgNumType w:start="1"/>
          <w:cols w:space="425" w:num="1"/>
          <w:docGrid w:type="lines" w:linePitch="312" w:charSpace="0"/>
        </w:sectPr>
      </w:pPr>
    </w:p>
    <w:p w14:paraId="30D70E68">
      <w:pPr>
        <w:spacing w:before="468" w:beforeLines="150" w:after="468" w:afterLines="150"/>
        <w:jc w:val="cente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基于物联网的农田水利智能灌溉与排水一体化系统及方法</w:t>
      </w:r>
    </w:p>
    <w:p w14:paraId="0B9DD468">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技术领域</w:t>
      </w:r>
    </w:p>
    <w:p w14:paraId="589603C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农业水利</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基于物联网的农田水利智能灌溉与排水一体化系统及方法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448803D">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背景技术</w:t>
      </w:r>
    </w:p>
    <w:p w14:paraId="53D4BD22">
      <w:pPr>
        <w:spacing w:line="520" w:lineRule="exact"/>
        <w:ind w:firstLine="561"/>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农业生产过程中，农田的灌溉与排水管理对农作物的产量和质量有着至关重要的影响。传统的农田灌溉与排水方式大多依赖人工操作，存在诸多弊端。一方面，人工灌溉与排水缺乏精准性，难以根据不同农作物在不同生长阶段以及不同土壤、气象条件下的实际需求进行科学合理的调控，容易导致水资源浪费或灌溉、排水不足，进而影响农作物生长；另一方面，人工操作效率低，劳动强度大，无法及时应对突发的气象变化和农田水分异常情况，增加了农业生产成本，制约了农业现代化发展。</w:t>
      </w:r>
    </w:p>
    <w:p w14:paraId="14AD88F2">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随着物联网技术的发展，一些农田灌溉与排水系统开始引入传感器和远程控制技术，但现有技术仍存在明显不足。多数系统仅实现了单一的灌溉或排水功能，缺乏灌溉与排水一体化的协同控制；传感器监测数据单一，不能全面准确地反映农田实际情况；系统的智能化程度较低，无法根据实时数据进行自适应调节，难以满足现代农业对高效、精准农田水利管理的需求，</w:t>
      </w:r>
      <w:r>
        <w:rPr>
          <w:rFonts w:hint="eastAsia" w:ascii="楷体_GB2312" w:hAnsi="楷体_GB2312" w:eastAsia="楷体_GB2312" w:cs="楷体_GB2312"/>
          <w:color w:val="000000" w:themeColor="text1"/>
          <w:sz w:val="28"/>
          <w:szCs w:val="28"/>
          <w:highlight w:val="none"/>
          <w14:textFill>
            <w14:solidFill>
              <w14:schemeClr w14:val="tx1"/>
            </w14:solidFill>
          </w14:textFill>
        </w:rPr>
        <w:t>为此，提出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基于物联网的农田水利智能灌溉与排水一体化系统及方法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D50894C">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cs="楷体_GB2312"/>
          <w:color w:val="000000" w:themeColor="text1"/>
          <w:w w:val="100"/>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w w:val="100"/>
          <w:szCs w:val="28"/>
          <w:highlight w:val="none"/>
          <w14:textFill>
            <w14:solidFill>
              <w14:schemeClr w14:val="tx1"/>
            </w14:solidFill>
          </w14:textFill>
        </w:rPr>
        <w:t>内容</w:t>
      </w:r>
    </w:p>
    <w:p w14:paraId="67D7E0C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有鉴于此，本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提供</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基于物联网的农田水利智能灌溉与排水一体化系统及方法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，以解决或缓解现有技术中存在的技术问题，至少提供一种有益的选择。</w:t>
      </w:r>
    </w:p>
    <w:p w14:paraId="254A8059">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的技术方案是这样实现的：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基于物联网的农田水利智能灌溉与排水一体化系统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以下模块：数据采集模块、控制模块、执行模块、通信模块和远程管理平台</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492150B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数据采集模块，包含土壤湿度传感器、气象传感器（风速传感器、风向传感器、降雨量传感器、空气温度传感器、空气湿度传感器）、水位传感器。土壤湿度传感器用于实时采集农田不同深度土壤的含水量；气象传感器实时监测风速、风向、降雨量、空气温度、空气湿度等气象数据；水位传感器实时监测农田沟渠及蓄水池水位，为系统决策提供基础数据</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165C992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控制模块，由中央控制器、灌溉控制器、排水控制器组成。中央控制器接收数据采集模块传输的数据，通过内置的智能算法进行分析处理，生成灌溉或排水指令；灌溉控制器根据中央控制器指令控制灌溉设备的启停和灌溉量；排水控制器根据指令控制排水设备的运行和排水量</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13DAA560">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执行模块</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包括灌溉设备（水泵、电磁阀、喷头、滴灌带等）和排水设备（排水泵、电动闸门等）</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灌溉设备根据灌溉控制器的指令进行灌溉作业；排水设备根据排水控制器的指令进行排水作业。</w:t>
      </w:r>
    </w:p>
    <w:p w14:paraId="4AC77778">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通信模块</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采用5G、NB-IoT或LoRa等无线通信技术，实现数据采集模块、控制模块和远程管理平台之间的数据传输，确保数据的实时性和稳定性。</w:t>
      </w:r>
    </w:p>
    <w:p w14:paraId="673C7D2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远程管理平台</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管理人员通过电脑或移动终端登录远程管理平台，可实时查看农田环境数据、设备运行状态，手动设置灌溉与排水参数，接收系统报警信息，并对系统进行远程配置和管理。</w:t>
      </w:r>
    </w:p>
    <w:p w14:paraId="326C3CAE">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基于物联网的农田水利智能灌溉与排水一体化方法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包括以下步骤：</w:t>
      </w:r>
    </w:p>
    <w:p w14:paraId="632FFA31">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S1、</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数据采集</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54164827">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S2、</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数据分析与决策</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31DEA77B">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S3、</w:t>
      </w:r>
      <w:r>
        <w:rPr>
          <w:rFonts w:hint="eastAsia" w:ascii="楷体_GB2312" w:hAnsi="楷体_GB2312" w:eastAsia="楷体_GB2312" w:cs="楷体_GB2312"/>
          <w:color w:val="000000" w:themeColor="text1"/>
          <w:sz w:val="28"/>
          <w:szCs w:val="28"/>
          <w:highlight w:val="none"/>
          <w14:textFill>
            <w14:solidFill>
              <w14:schemeClr w14:val="tx1"/>
            </w14:solidFill>
          </w14:textFill>
        </w:rPr>
        <w:t>执行控制</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6E8C96A3">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S4、</w:t>
      </w:r>
      <w:r>
        <w:rPr>
          <w:rFonts w:hint="eastAsia" w:ascii="楷体_GB2312" w:hAnsi="楷体_GB2312" w:eastAsia="楷体_GB2312" w:cs="楷体_GB2312"/>
          <w:color w:val="000000" w:themeColor="text1"/>
          <w:sz w:val="28"/>
          <w:szCs w:val="28"/>
          <w:highlight w:val="none"/>
          <w14:textFill>
            <w14:solidFill>
              <w14:schemeClr w14:val="tx1"/>
            </w14:solidFill>
          </w14:textFill>
        </w:rPr>
        <w:t>实时监测与反馈</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724754F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S5、</w:t>
      </w:r>
      <w:r>
        <w:rPr>
          <w:rFonts w:hint="eastAsia" w:ascii="楷体_GB2312" w:hAnsi="楷体_GB2312" w:eastAsia="楷体_GB2312" w:cs="楷体_GB2312"/>
          <w:color w:val="000000" w:themeColor="text1"/>
          <w:sz w:val="28"/>
          <w:szCs w:val="28"/>
          <w:highlight w:val="none"/>
          <w14:textFill>
            <w14:solidFill>
              <w14:schemeClr w14:val="tx1"/>
            </w14:solidFill>
          </w14:textFill>
        </w:rPr>
        <w:t>远程管理与优化。</w:t>
      </w:r>
    </w:p>
    <w:p w14:paraId="0F5E6CC0">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1中，数据采集模块中的各类传感器按照预设的采样频率实时采集农田土壤湿度、气象数据和水位数据，并通过通信模块将数据传输至中央控制器，在所述S2中，中央控制器接收数据后，将土壤湿度数据与农作物生长所需的适宜湿度范围进行对比分析，结合气象数据预测未来一段时间内的降水情况和蒸发量，同时参考水位数据。若土壤湿度低于适宜范围下限，且无有效降水预期，中央控制器生成灌溉指令，根据土壤湿度差值和农作物需水量计算出合理的灌溉量，发送给灌溉控制器；若土壤湿度高于适宜范围上限，或水位超过警戒值，中央控制器生成排水指令，确定排水时间和排水量，发送给排水控制器</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737D400">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3中，灌溉控制器接收到灌溉指令后，控制水泵启动，打开相应的电磁阀，根据计算出的灌溉量调节喷头或滴灌带的出水流量，进行精准灌溉；排水控制器接收到排水指令后，启动排水泵，打开电动闸门，按照确定的排水量进行排水作业，在所述S4中，在灌溉或排水过程中，数据采集模块持续监测土壤湿度、水位等数据，并实时反馈给中央控制器。中央控制器根据反馈数据及时调整灌溉或排水策略，确保农田土壤湿度和水位维持在适宜范围内。若出现设备故障、传感器异常等情况，系统通过通信模块向远程管理平台发送报警信息，提醒管理人员及时处理</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9F8AC76">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在所述S5中，管理人员可通过远程管理平台对系统进行远程监控和管理，根据实际情况手动调整灌溉与排水参数，优化智能算法，还可查看历史数据，分析农田水利管理效果，为后续决策提供参考</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14:paraId="3CB2E3E8">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实施例由于采用以上技术方案，其具有以下优点：</w:t>
      </w:r>
    </w:p>
    <w:p w14:paraId="6895BDE7">
      <w:pPr>
        <w:spacing w:line="50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一、</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发明通过多种传感器全面实时采集农田环境数据，结合智能算法进行分析决策，实现了灌溉与排水的精准化、智能化控制，能够根据农作物实际需求和环境变化自动调节，有效提高农作物产量和质量。</w:t>
      </w:r>
    </w:p>
    <w:p w14:paraId="3FC3D949">
      <w:pPr>
        <w:spacing w:line="50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二、本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避免了传统灌溉排水方式的水资源浪费和不合理使用，根据实际需求进行灌溉和排水，可将水资源利用效率提高30%以上，符合节水农业发展要求，自动化的灌溉与排水系统减少了人工操作，降低了农民的劳动强度，同时提高了管理效率，降低了农业生产成本，提高农业生产效益。</w:t>
      </w:r>
    </w:p>
    <w:p w14:paraId="52DAE12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三</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管理人员可通过远程管理平台随时随地对农田水利系统进行监控和管理，及时掌握农田情况，应对突发状况，实现农业生产的精细化管理，采用标准化通信协议和模块化设计，便于与其他农业智能化系统集成，同时可根据实际需求灵活增减设备和功能模块，适应不同规模和类型的农田</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6F09C79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上述概述仅仅是为了说明书的目的，并不意图以任何方式进行限制。除上述描述的示意性的方面、实施方式和特征之外，通过参考附图和以下的详细描述，本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进一步的方面、实施方式和特征将会是容易明白的。</w:t>
      </w:r>
    </w:p>
    <w:p w14:paraId="1B693656">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附图说明</w:t>
      </w:r>
    </w:p>
    <w:p w14:paraId="6C7E5F0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为了更清楚地说明本申请实施例或现有技术中的技术方案，下面将对实施例或</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现</w:t>
      </w:r>
      <w:r>
        <w:rPr>
          <w:rFonts w:hint="eastAsia" w:ascii="楷体_GB2312" w:hAnsi="楷体_GB2312" w:eastAsia="楷体_GB2312" w:cs="楷体_GB2312"/>
          <w:color w:val="000000" w:themeColor="text1"/>
          <w:sz w:val="28"/>
          <w:szCs w:val="28"/>
          <w:highlight w:val="none"/>
          <w14:textFill>
            <w14:solidFill>
              <w14:schemeClr w14:val="tx1"/>
            </w14:solidFill>
          </w14:textFill>
        </w:rPr>
        <w:t>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6701D489">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系统模块</w:t>
      </w:r>
      <w:r>
        <w:rPr>
          <w:rFonts w:hint="eastAsia" w:ascii="楷体_GB2312" w:hAnsi="楷体_GB2312" w:eastAsia="楷体_GB2312" w:cs="楷体_GB2312"/>
          <w:color w:val="000000" w:themeColor="text1"/>
          <w:sz w:val="28"/>
          <w:szCs w:val="28"/>
          <w:highlight w:val="none"/>
          <w14:textFill>
            <w14:solidFill>
              <w14:schemeClr w14:val="tx1"/>
            </w14:solidFill>
          </w14:textFill>
        </w:rPr>
        <w:t>图；</w:t>
      </w:r>
    </w:p>
    <w:p w14:paraId="0CFF2520">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图2为本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方法流程</w:t>
      </w:r>
      <w:r>
        <w:rPr>
          <w:rFonts w:hint="eastAsia" w:ascii="楷体_GB2312" w:hAnsi="楷体_GB2312" w:eastAsia="楷体_GB2312" w:cs="楷体_GB2312"/>
          <w:color w:val="000000" w:themeColor="text1"/>
          <w:sz w:val="28"/>
          <w:szCs w:val="28"/>
          <w:highlight w:val="none"/>
          <w14:textFill>
            <w14:solidFill>
              <w14:schemeClr w14:val="tx1"/>
            </w14:solidFill>
          </w14:textFill>
        </w:rPr>
        <w:t>图。</w:t>
      </w:r>
    </w:p>
    <w:p w14:paraId="6CC87556">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具体实施方式</w:t>
      </w:r>
    </w:p>
    <w:p w14:paraId="5AE00371">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在下文中，仅简单地描述了某些示例性实施例。正如本领域技术人员可认识到的那样，在不脱离本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的精神或范围的情况下，可通过各种不同方式修改所描述的实施例。因此，附图和描述被认为本质上是示例性的而非限制性的。</w:t>
      </w:r>
    </w:p>
    <w:p w14:paraId="423C7F86">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下面结合附图对本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的实施例进行详细说明。</w:t>
      </w:r>
    </w:p>
    <w:p w14:paraId="274E0AF8">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如图1-</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2</w:t>
      </w:r>
      <w:r>
        <w:rPr>
          <w:rFonts w:hint="eastAsia" w:ascii="楷体_GB2312" w:hAnsi="楷体_GB2312" w:eastAsia="楷体_GB2312" w:cs="楷体_GB2312"/>
          <w:color w:val="000000" w:themeColor="text1"/>
          <w:sz w:val="28"/>
          <w:szCs w:val="28"/>
          <w:highlight w:val="none"/>
          <w14:textFill>
            <w14:solidFill>
              <w14:schemeClr w14:val="tx1"/>
            </w14:solidFill>
          </w14:textFill>
        </w:rPr>
        <w:t>所示，本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实施例提供了</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基于物联网的农田水利智能灌溉与排水一体化系统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以下模块：数据采集模块、控制模块、执行模块、通信模块和远程管理平台</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3D16372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数据采集模块，包含土壤湿度传感器、气象传感器（风速传感器、风向传感器、降雨量传感器、空气温度传感器、空气湿度传感器）、水位传感器。土壤湿度传感器用于实时采集农田不同深度土壤的含水量；气象传感器实时监测风速、风向、降雨量、空气温度、空气湿度等气象数据；水位传感器实时监测农田沟渠及蓄水池水位，为系统决策提供基础数据</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756D35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控制模块，由中央控制器、灌溉控制器、排水控制器组成。中央控制器接收数据采集模块传输的数据，通过内置的智能算法进行分析处理，生成灌溉或排水指令；灌溉控制器根据中央控制器指令控制灌溉设备的启停和灌溉量；排水控制器根据指令控制排水设备的运行和排水量</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A57483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执行模块</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包括灌溉设备（水泵、电磁阀、喷头、滴灌带等）和排水设备（排水泵、电动闸门等）</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灌溉设备根据灌溉控制器的指令进行灌溉作业；排水设备根据排水控制器的指令进行排水作业。</w:t>
      </w:r>
    </w:p>
    <w:p w14:paraId="1C15C36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通信模块</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采用5G、NB-IoT或LoRa等无线通信技术，实现数据采集模块、控制模块和远程管理平台之间的数据传输，确保数据的实时性和稳定性。</w:t>
      </w:r>
    </w:p>
    <w:p w14:paraId="3676F24F">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远程管理平台</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管理人员通过电脑或移动终端登录远程管理平台，可实时查看农田环境数据、设备运行状态，手动设置灌溉与排水参数，接收系统报警信息，并对系统进行远程配置和管理。</w:t>
      </w:r>
    </w:p>
    <w:p w14:paraId="0D079E74">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基于物联网的农田水利智能灌溉与排水一体化方法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包括以下步骤：</w:t>
      </w:r>
    </w:p>
    <w:p w14:paraId="12EF41CF">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S1、</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数据采集</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4496710A">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S2、</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数据分析与决策</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1956405A">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S3、</w:t>
      </w:r>
      <w:r>
        <w:rPr>
          <w:rFonts w:hint="eastAsia" w:ascii="楷体_GB2312" w:hAnsi="楷体_GB2312" w:eastAsia="楷体_GB2312" w:cs="楷体_GB2312"/>
          <w:color w:val="000000" w:themeColor="text1"/>
          <w:sz w:val="28"/>
          <w:szCs w:val="28"/>
          <w:highlight w:val="none"/>
          <w14:textFill>
            <w14:solidFill>
              <w14:schemeClr w14:val="tx1"/>
            </w14:solidFill>
          </w14:textFill>
        </w:rPr>
        <w:t>执行控制</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7E2704CB">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S4、</w:t>
      </w:r>
      <w:r>
        <w:rPr>
          <w:rFonts w:hint="eastAsia" w:ascii="楷体_GB2312" w:hAnsi="楷体_GB2312" w:eastAsia="楷体_GB2312" w:cs="楷体_GB2312"/>
          <w:color w:val="000000" w:themeColor="text1"/>
          <w:sz w:val="28"/>
          <w:szCs w:val="28"/>
          <w:highlight w:val="none"/>
          <w14:textFill>
            <w14:solidFill>
              <w14:schemeClr w14:val="tx1"/>
            </w14:solidFill>
          </w14:textFill>
        </w:rPr>
        <w:t>实时监测与反馈</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0B09B97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S5、</w:t>
      </w:r>
      <w:r>
        <w:rPr>
          <w:rFonts w:hint="eastAsia" w:ascii="楷体_GB2312" w:hAnsi="楷体_GB2312" w:eastAsia="楷体_GB2312" w:cs="楷体_GB2312"/>
          <w:color w:val="000000" w:themeColor="text1"/>
          <w:sz w:val="28"/>
          <w:szCs w:val="28"/>
          <w:highlight w:val="none"/>
          <w14:textFill>
            <w14:solidFill>
              <w14:schemeClr w14:val="tx1"/>
            </w14:solidFill>
          </w14:textFill>
        </w:rPr>
        <w:t>远程管理与优化。</w:t>
      </w:r>
    </w:p>
    <w:p w14:paraId="3F571CE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S1中，数据采集模块中的各类传感器按照预设的采样频率实时采集农田土壤湿度、气象数据和水位数据，并通过通信模块将数据传输至中央控制器，在S2中，中央控制器接收数据后，将土壤湿度数据与农作物生长所需的适宜湿度范围进行对比分析，结合气象数据预测未来一段时间内的降水情况和蒸发量，同时参考水位数据。若土壤湿度低于适宜范围下限，且无有效降水预期，中央控制器生成灌溉指令，根据土壤湿度差值和农作物需水量计算出合理的灌溉量，发送给灌溉控制器；若土壤湿度高于适宜范围上限，或水位超过警戒值，中央控制器生成排水指令，确定排水时间和排水量，发送给排水控制器</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015855F4">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S3中，灌溉控制器接收到灌溉指令后，控制水泵启动，打开相应的电磁阀，根据计算出的灌溉量调节喷头或滴灌带的出水流量，进行精准灌溉；排水控制器接收到排水指令后，启动排水泵，打开电动闸门，按照确定的排水量进行排水作业，在S4中，在灌溉或排水过程中，数据采集模块持续监测土壤湿度、水位等数据，并实时反馈给中央控制器。中央控制器根据反馈数据及时调整灌溉或排水策略，确保农田土壤湿度和水位维持在适宜范围内。若出现设备故障、传感器异常等情况，系统通过通信模块向远程管理平台发送报警信息，提醒管理人员及时处理</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3BC1D9D3">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在S5中，管理人员可通过远程管理平台对系统进行远程监控和管理，根据实际情况手动调整灌溉与排水参数，优化智能算法，还可查看历史数据，分析农田水利管理效果，为后续决策提供参考</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w:t>
      </w:r>
    </w:p>
    <w:p w14:paraId="4533230B">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以上所述，仅为本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的具体实施方式，但本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的保护范围并不局限于此，任何熟悉本技术领域的技术人员在本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揭露的技术范围内，可轻易想到其各种变化或替换，这些都应涵盖在本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的保护范围之内。因此，本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的保护范围应以所述权利要求的保护范围为准。</w:t>
      </w:r>
    </w:p>
    <w:p w14:paraId="35062309">
      <w:pPr>
        <w:spacing w:before="312" w:beforeLines="100" w:after="312" w:afterLines="100"/>
        <w:jc w:val="center"/>
        <w:rPr>
          <w:rFonts w:hint="eastAsia" w:ascii="楷体_GB2312" w:hAnsi="楷体_GB2312" w:eastAsia="楷体_GB2312" w:cs="楷体_GB2312"/>
          <w:color w:val="000000" w:themeColor="text1"/>
          <w:highlight w:val="none"/>
          <w14:textFill>
            <w14:solidFill>
              <w14:schemeClr w14:val="tx1"/>
            </w14:solidFill>
          </w14:textFill>
        </w:rPr>
        <w:sectPr>
          <w:headerReference r:id="rId9" w:type="default"/>
          <w:footerReference r:id="rId10" w:type="default"/>
          <w:pgSz w:w="11906" w:h="16838"/>
          <w:pgMar w:top="1418" w:right="851" w:bottom="851" w:left="1418" w:header="624" w:footer="227" w:gutter="0"/>
          <w:lnNumType w:countBy="0" w:restart="newSection"/>
          <w:pgNumType w:start="1"/>
          <w:cols w:space="425" w:num="1"/>
          <w:docGrid w:type="lines" w:linePitch="312" w:charSpace="0"/>
        </w:sectPr>
      </w:pPr>
    </w:p>
    <w:p w14:paraId="0BAADC78">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6114415" cy="3140710"/>
            <wp:effectExtent l="0" t="0" r="635" b="254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4"/>
                    <a:stretch>
                      <a:fillRect/>
                    </a:stretch>
                  </pic:blipFill>
                  <pic:spPr>
                    <a:xfrm>
                      <a:off x="0" y="0"/>
                      <a:ext cx="6114415" cy="3140710"/>
                    </a:xfrm>
                    <a:prstGeom prst="rect">
                      <a:avLst/>
                    </a:prstGeom>
                    <a:noFill/>
                    <a:ln>
                      <a:noFill/>
                    </a:ln>
                  </pic:spPr>
                </pic:pic>
              </a:graphicData>
            </a:graphic>
          </wp:inline>
        </w:drawing>
      </w:r>
    </w:p>
    <w:p w14:paraId="570660F3">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w:t>
      </w:r>
    </w:p>
    <w:p w14:paraId="4C71CD8B">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4638675" cy="4981575"/>
            <wp:effectExtent l="0" t="0" r="9525" b="9525"/>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5"/>
                    <a:stretch>
                      <a:fillRect/>
                    </a:stretch>
                  </pic:blipFill>
                  <pic:spPr>
                    <a:xfrm>
                      <a:off x="0" y="0"/>
                      <a:ext cx="4638675" cy="4981575"/>
                    </a:xfrm>
                    <a:prstGeom prst="rect">
                      <a:avLst/>
                    </a:prstGeom>
                    <a:noFill/>
                    <a:ln>
                      <a:noFill/>
                    </a:ln>
                  </pic:spPr>
                </pic:pic>
              </a:graphicData>
            </a:graphic>
          </wp:inline>
        </w:drawing>
      </w:r>
    </w:p>
    <w:p w14:paraId="7AD784DE">
      <w:pPr>
        <w:jc w:val="cente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图2</w:t>
      </w:r>
    </w:p>
    <w:bookmarkEnd w:id="0"/>
    <w:sectPr>
      <w:headerReference r:id="rId11" w:type="default"/>
      <w:footerReference r:id="rId12" w:type="default"/>
      <w:pgSz w:w="11906" w:h="16838"/>
      <w:pgMar w:top="1418" w:right="851" w:bottom="851" w:left="1418" w:header="624" w:footer="22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7B5C">
    <w:pPr>
      <w:pStyle w:val="6"/>
    </w:pPr>
    <w:r>
      <w:rPr>
        <w:rFonts w:hint="eastAsia"/>
      </w:rPr>
      <mc:AlternateContent>
        <mc:Choice Requires="wps">
          <w:drawing>
            <wp:anchor distT="0" distB="0" distL="114300" distR="114300" simplePos="0" relativeHeight="251663360"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3360;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4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4737344C">
    <w:pPr>
      <w:pStyle w:val="6"/>
      <w:rPr>
        <w:rFonts w:ascii="Arial" w:hAnsi="Arial" w:cs="Arial"/>
      </w:rPr>
    </w:pPr>
    <w:r>
      <w:rPr>
        <w:rFonts w:hint="eastAsia" w:ascii="Arial" w:hAnsi="Arial" w:cs="Arial"/>
      </w:rPr>
      <w:t>201812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E1080">
    <w:pPr>
      <w:pStyle w:val="6"/>
    </w:pPr>
    <w:r>
      <w:rPr>
        <w:rFonts w:hint="eastAsia"/>
      </w:rPr>
      <mc:AlternateContent>
        <mc:Choice Requires="wps">
          <w:drawing>
            <wp:anchor distT="0" distB="0" distL="114300" distR="114300" simplePos="0" relativeHeight="251667456"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7456;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5                                                </w:t>
    </w:r>
    <w:r>
      <w:rPr>
        <w:rFonts w:hint="eastAsia" w:ascii="Arial" w:hAnsi="Arial" w:cs="Arial"/>
        <w:sz w:val="20"/>
        <w:szCs w:val="20"/>
      </w:rPr>
      <w:t xml:space="preserve"> </w:t>
    </w:r>
    <w:r>
      <w:rPr>
        <w:rFonts w:hint="eastAsia" w:ascii="Arial" w:hAnsi="Arial" w:cs="Arial"/>
        <w:bCs/>
        <w:sz w:val="20"/>
        <w:szCs w:val="20"/>
      </w:rPr>
      <w:t>1</w:t>
    </w:r>
  </w:p>
  <w:p w14:paraId="6B3A9055">
    <w:pPr>
      <w:pStyle w:val="6"/>
      <w:rPr>
        <w:rFonts w:ascii="Arial" w:hAnsi="Arial" w:cs="Arial"/>
      </w:rPr>
    </w:pPr>
    <w:r>
      <w:rPr>
        <w:rFonts w:hint="eastAsia" w:ascii="Arial" w:hAnsi="Arial" w:cs="Arial"/>
      </w:rPr>
      <w:t>201812</w:t>
    </w:r>
    <w:r>
      <w:rPr>
        <w:rFonts w:hint="eastAsia"/>
      </w:rPr>
      <mc:AlternateContent>
        <mc:Choice Requires="wps">
          <w:drawing>
            <wp:anchor distT="0" distB="0" distL="114300" distR="114300" simplePos="0" relativeHeight="251662336"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3.7pt;height:0pt;width:481.9pt;z-index:251662336;mso-width-relative:page;mso-height-relative:page;" filled="f" stroked="t" coordsize="21600,21600" o:allowincell="f"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v:fill on="f" focussize="0,0"/>
              <v:stroke weight="1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902DC">
    <w:pPr>
      <w:pStyle w:val="6"/>
    </w:pPr>
    <w:r>
      <w:rPr>
        <w:rFonts w:hint="eastAsia"/>
      </w:rPr>
      <mc:AlternateContent>
        <mc:Choice Requires="wps">
          <w:drawing>
            <wp:anchor distT="0" distB="0" distL="114300" distR="114300" simplePos="0" relativeHeight="251664384" behindDoc="0" locked="0" layoutInCell="0" allowOverlap="1">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4.85pt;height:0pt;width:481.9pt;z-index:251664384;mso-width-relative:page;mso-height-relative:page;" filled="f" stroked="t" coordsize="21600,21600" o:allowincell="f" o:gfxdata="UEsDBAoAAAAAAIdO4kAAAAAAAAAAAAAAAAAEAAAAZHJzL1BLAwQUAAAACACHTuJAIIQsu9UAAAAG&#10;AQAADwAAAGRycy9kb3ducmV2LnhtbE2OS0/CQBSF9yb+h8k1cQfTooFSO2UBIUTjBjBxe+lcO4XO&#10;ndIZHv57x7DQ5XnknK+YXW0rztT7xrGCdJiAIK6cbrhW8LFdDjIQPiBrbB2Tgm/yMCvv7wrMtbvw&#10;ms6bUIs4wj5HBSaELpfSV4Ys+qHriGP25XqLIcq+lrrHSxy3rRwlyVhabDg+GOxobqg6bE5WAS5W&#10;6/CZjd4mzat532+Xx5XJjko9PqTJC4hA1/BXhl/8iA5lZNq5E2svWgVPsadgMJ2AiOl0/JyC2N0M&#10;WRbyP375A1BLAwQUAAAACACHTuJAtDz9keQBAACrAwAADgAAAGRycy9lMm9Eb2MueG1srVNLjhMx&#10;EN0jcQfLe9KdIA1MK51ZJBo2A0Sa4QCO2522sF2Wy0knl+ACSOxgxZI9t5nhGJTdSZjPZhb0wrJd&#10;Va/ee+WeXuysYVsVUIOr+XhUcqachEa7dc0/3Vy+essZRuEaYcCpmu8V8ovZyxfT3ldqAh2YRgVG&#10;IA6r3te8i9FXRYGyU1bgCLxyFGwhWBHpGNZFE0RP6NYUk7I8K3oIjQ8gFSLdLoYgPyCG5wBC22qp&#10;FiA3Vrk4oAZlRCRJ2GmPfJbZtq2S8WPboorM1JyUxrxSE9qv0lrMpqJaB+E7LQ8UxHMoPNJkhXbU&#10;9AS1EFGwTdBPoKyWARDaOJJgi0FIdoRUjMtH3lx3wqushaxGfzId/x+s/LBdBqabmp9z5oSlgd99&#10;/XX75fuf399ovfv5g50nk3qPFeXO3TIkmXLnrv0VyM/IHMw74dYqk73Ze0IYp4riQUk6oKdWq/49&#10;NJQjNhGyY7s22ARJXrBdHsz+NBi1i0zS5dmY3HlNM5PHWCGqY6EPGN8psCxtam60S56JSmyvMCYi&#10;ojqmpGsHl9qYPHfjWE9sJ2/KMlcgGN2kaMrDsF7NTWBbkZ5O/rIsitxPC7BxzdDFuIPqJHSwbAXN&#10;fhmObtAMM53De0uP5P45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LLvVAAAABgEA&#10;AA8AAAAAAAAAAQAgAAAAIgAAAGRycy9kb3ducmV2LnhtbFBLAQIUABQAAAAIAIdO4kC0PP2R5AEA&#10;AKsDAAAOAAAAAAAAAAEAIAAAACQBAABkcnMvZTJvRG9jLnhtbFBLBQYAAAAABgAGAFkBAAB6BQAA&#10;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1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3961F2B8">
    <w:pPr>
      <w:pStyle w:val="6"/>
      <w:rPr>
        <w:rFonts w:ascii="Arial" w:hAnsi="Arial" w:cs="Arial"/>
      </w:rPr>
    </w:pPr>
    <w:r>
      <w:rPr>
        <w:rFonts w:hint="eastAsia" w:ascii="Arial" w:hAnsi="Arial" w:cs="Arial"/>
      </w:rPr>
      <w:t>201812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EC0D">
    <w:pPr>
      <w:pStyle w:val="6"/>
      <w:rPr>
        <w:rFonts w:ascii="Arial" w:hAnsi="Arial" w:cs="Arial"/>
        <w:bCs/>
        <w:sz w:val="16"/>
        <w:szCs w:val="16"/>
      </w:rPr>
    </w:pPr>
    <w:r>
      <w:rPr>
        <w:rFonts w:hint="eastAsia"/>
      </w:rPr>
      <mc:AlternateContent>
        <mc:Choice Requires="wps">
          <w:drawing>
            <wp:anchor distT="0" distB="0" distL="114300" distR="114300" simplePos="0" relativeHeight="251668480"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8480;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E3idJ7jAQAArQMAAA4AAABkcnMvZTJvRG9jLnhtbK1TwY7T&#10;MBC9I/EPlu80aZEWFDXdQ6vlskClXT7AdZzGwvZYHrdJf4IfQOIGJ47c+Rt2P4Ox05ZlueyBHCyP&#10;Z+bNvDeT+eVgDdurgBpczaeTkjPlJDTabWv+4fbqxWvOMArXCANO1fygkF8unj+b975SM+jANCow&#10;AnFY9b7mXYy+KgqUnbICJ+CVI2cLwYpIZtgWTRA9oVtTzMryoughND6AVIj0uhqd/IgYngIIbaul&#10;WoHcWeXiiBqUEZEoYac98kXutm2VjO/bFlVkpubENOaTitB9k85iMRfVNgjfaXlsQTylhUecrNCO&#10;ip6hViIKtgv6HyirZQCENk4k2GIkkhUhFtPykTY3nfAqcyGp0Z9Fx/8HK9/t14HphjaB5u6EpYnf&#10;ff7x69PX+59f6Lz7/o2Rh2TqPVYUvXTrkIjKwd34a5AfkTlYdsJtVW739uAJYpoyir9SkoGeim36&#10;t9BQjNhFyJoNbbAJktRgQx7N4TwaNUQm6fFiSvq8pKnJk68Q1SnRB4xvFFiWLjU32iXVRCX21xhT&#10;I6I6haRnB1famDx541hP3c5elWXOQDC6Sd4Uh2G7WZrA9iItT/4yLfI8DAuwc81Yxbgj60R0lGwD&#10;zWEdTmrQFHM7x41La/LQztl//rL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FjJbWAAAABwEA&#10;AA8AAAAAAAAAAQAgAAAAIgAAAGRycy9kb3ducmV2LnhtbFBLAQIUABQAAAAIAIdO4kBN4nSe4wEA&#10;AK0DAAAOAAAAAAAAAAEAIAAAACUBAABkcnMvZTJvRG9jLnhtbFBLBQYAAAAABgAGAFkBAAB6BQAA&#10;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100002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01CFC0E7">
    <w:pPr>
      <w:pStyle w:val="6"/>
      <w:rPr>
        <w:rFonts w:ascii="Arial" w:hAnsi="Arial" w:cs="Arial"/>
        <w:sz w:val="16"/>
        <w:szCs w:val="16"/>
      </w:rPr>
    </w:pPr>
    <w:r>
      <w:rPr>
        <w:rFonts w:hint="eastAsia" w:ascii="Arial" w:hAnsi="Arial" w:cs="Arial"/>
        <w:bCs/>
        <w:sz w:val="16"/>
        <w:szCs w:val="16"/>
      </w:rPr>
      <w:t>201812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F802">
    <w:pPr>
      <w:pStyle w:val="6"/>
      <w:rPr>
        <w:rFonts w:ascii="Arial" w:hAnsi="Arial" w:cs="Arial"/>
        <w:bCs/>
        <w:sz w:val="16"/>
        <w:szCs w:val="16"/>
      </w:rPr>
    </w:pPr>
    <w:r>
      <w:rPr>
        <w:rFonts w:hint="eastAsia"/>
      </w:rPr>
      <mc:AlternateContent>
        <mc:Choice Requires="wps">
          <w:drawing>
            <wp:anchor distT="0" distB="0" distL="114300" distR="114300" simplePos="0" relativeHeight="251665408"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5408;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100003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4EAA63E6">
    <w:pPr>
      <w:pStyle w:val="6"/>
      <w:rPr>
        <w:rFonts w:ascii="Arial" w:hAnsi="Arial" w:cs="Arial"/>
        <w:sz w:val="16"/>
        <w:szCs w:val="16"/>
      </w:rPr>
    </w:pPr>
    <w:r>
      <w:rPr>
        <w:rFonts w:hint="eastAsia" w:ascii="Arial" w:hAnsi="Arial" w:cs="Arial"/>
        <w:bCs/>
        <w:sz w:val="16"/>
        <w:szCs w:val="16"/>
      </w:rPr>
      <w:t>201812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E3894">
    <w:pPr>
      <w:pStyle w:val="7"/>
    </w:pPr>
    <w:r>
      <w:rPr>
        <w:rFonts w:hint="eastAsia"/>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24.2pt;height:0pt;width:481.9pt;z-index:251659264;mso-width-relative:page;mso-height-relative:page;" filled="f" stroked="t" coordsize="21600,21600" o:allowincell="f"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06A92">
    <w:pPr>
      <w:pStyle w:val="7"/>
    </w:pPr>
    <w:r>
      <w:rPr>
        <w:rFonts w:hint="eastAsia"/>
      </w:rPr>
      <mc:AlternateContent>
        <mc:Choice Requires="wps">
          <w:drawing>
            <wp:anchor distT="0" distB="0" distL="114300" distR="114300" simplePos="0" relativeHeight="251660288"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3.8pt;height:0pt;width:481.9pt;z-index:251660288;mso-width-relative:page;mso-height-relative:page;" filled="f" stroked="t" coordsize="21600,21600" o:allowincell="f"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摘 要 附 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6B835">
    <w:pPr>
      <w:pStyle w:val="7"/>
    </w:pPr>
    <w:r>
      <w:rPr>
        <w:rFonts w:hint="eastAsia"/>
      </w:rPr>
      <mc:AlternateContent>
        <mc:Choice Requires="wps">
          <w:drawing>
            <wp:anchor distT="0" distB="0" distL="114300" distR="114300" simplePos="0" relativeHeight="251661312" behindDoc="0" locked="0" layoutInCell="0" allowOverlap="1">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5pt;margin-top:24.05pt;height:0pt;width:481.9pt;z-index:251661312;mso-width-relative:page;mso-height-relative:page;" filled="f" stroked="t" coordsize="21600,21600" o:allowincell="f" o:gfxdata="UEsDBAoAAAAAAIdO4kAAAAAAAAAAAAAAAAAEAAAAZHJzL1BLAwQUAAAACACHTuJAiAAGZdYAAAAH&#10;AQAADwAAAGRycy9kb3ducmV2LnhtbE2OS0/CQBSF9yb+h8k1cQfTgmItnbLQEKJhA5i4vXSunWLn&#10;TukMD/+9Y1jg8jxyzlfMzrYVR+p941hBOkxAEFdON1wr+NjMBxkIH5A1to5JwQ95mJW3NwXm2p14&#10;Rcd1qEUcYZ+jAhNCl0vpK0MW/dB1xDH7cr3FEGVfS93jKY7bVo6SZCItNhwfDHb0Yqj6Xh+sAnxd&#10;rMJnNnp/at7McreZ7xcm2yt1f5cmUxCBzuFahj/8iA5lZNq6A2svWgWDx1hU8JClIGL8PBmPQWwv&#10;hiwL+Z+//AVQSwMEFAAAAAgAh07iQJJt3zHjAQAAqwMAAA4AAABkcnMvZTJvRG9jLnhtbK1TS44T&#10;MRDdI3EHy3vSnTAa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gABmXWAAAABwEA&#10;AA8AAAAAAAAAAQAgAAAAIgAAAGRycy9kb3ducmV2LnhtbFBLAQIUABQAAAAIAIdO4kCSbd8x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权 利 要 求 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5C36">
    <w:pPr>
      <w:pStyle w:val="7"/>
      <w:rPr>
        <w:rFonts w:asciiTheme="minorHAnsi" w:hAnsiTheme="minorHAnsi"/>
      </w:rPr>
    </w:pPr>
    <w:r>
      <w:rPr>
        <w:rFonts w:hint="eastAsia"/>
      </w:rPr>
      <mc:AlternateContent>
        <mc:Choice Requires="wps">
          <w:drawing>
            <wp:anchor distT="0" distB="0" distL="114300" distR="114300" simplePos="0" relativeHeight="251666432" behindDoc="0" locked="0" layoutInCell="0" allowOverlap="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pt;margin-top:24.1pt;height:0pt;width:481.9pt;z-index:251666432;mso-width-relative:page;mso-height-relative:page;" filled="f" stroked="t" coordsize="21600,21600" o:allowincell="f" o:gfxdata="UEsDBAoAAAAAAIdO4kAAAAAAAAAAAAAAAAAEAAAAZHJzL1BLAwQUAAAACACHTuJA9SSle9YAAAAH&#10;AQAADwAAAGRycy9kb3ducmV2LnhtbE2OzU7DMBCE70i8g7VI3FqnAYUQ4vQAqioQl7ZIXLfJEgfi&#10;dRq7P7w9i3qA02hnRrNfOT+5Xh1oDJ1nA7NpAoq49k3HrYG3zWKSgwoRucHeMxn4pgDz6vKixKLx&#10;R17RYR1bJSMcCjRgYxwKrUNtyWGY+oFYsg8/Ooxyjq1uRjzKuOt1miSZdtixfLA40KOl+mu9dwbw&#10;abmK73n6ctc929fPzWK3tPnOmOurWfIAKtIp/pXhF1/QoRKmrd9zE1RvYJJK0cBtLirxfXaTgdqe&#10;DV2V+j9/9QNQSwMEFAAAAAgAh07iQG9jBvjjAQAAqwMAAA4AAABkcnMvZTJvRG9jLnhtbK1TS44T&#10;MRDdI3EHy3vSnaAZ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kpXvWAAAABwEA&#10;AA8AAAAAAAAAAQAgAAAAIgAAAGRycy9kb3ducmV2LnhtbFBLAQIUABQAAAAIAIdO4kBvYwb4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 xml:space="preserve">说 明 书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DED99">
    <w:pPr>
      <w:pStyle w:val="7"/>
    </w:pPr>
    <w:r>
      <w:rPr>
        <w:rFonts w:hint="eastAsia"/>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63360;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MzVkMTg2NTA2NzY3ZDBjNjk1NWJlNTMyNzMxY2Y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7E75"/>
    <w:rsid w:val="02856CA8"/>
    <w:rsid w:val="08B6102D"/>
    <w:rsid w:val="09F14245"/>
    <w:rsid w:val="0BFF4DA2"/>
    <w:rsid w:val="0C3C77C2"/>
    <w:rsid w:val="113F222E"/>
    <w:rsid w:val="11511F61"/>
    <w:rsid w:val="186574ED"/>
    <w:rsid w:val="18B947A4"/>
    <w:rsid w:val="1D5C7CC4"/>
    <w:rsid w:val="1DB267EB"/>
    <w:rsid w:val="1DB90C77"/>
    <w:rsid w:val="1E05055E"/>
    <w:rsid w:val="205E28E6"/>
    <w:rsid w:val="2296767D"/>
    <w:rsid w:val="229D3A06"/>
    <w:rsid w:val="26F913DB"/>
    <w:rsid w:val="27BC5F2F"/>
    <w:rsid w:val="294A30C6"/>
    <w:rsid w:val="31FC517A"/>
    <w:rsid w:val="320571FD"/>
    <w:rsid w:val="32EB1476"/>
    <w:rsid w:val="336916AC"/>
    <w:rsid w:val="36C724BE"/>
    <w:rsid w:val="36EB0824"/>
    <w:rsid w:val="3A3A2712"/>
    <w:rsid w:val="3A4E007E"/>
    <w:rsid w:val="3E784FAE"/>
    <w:rsid w:val="3F850EA5"/>
    <w:rsid w:val="3FE200A5"/>
    <w:rsid w:val="41BD0482"/>
    <w:rsid w:val="44F52628"/>
    <w:rsid w:val="46D83FB0"/>
    <w:rsid w:val="4E1D7948"/>
    <w:rsid w:val="510D659C"/>
    <w:rsid w:val="57465839"/>
    <w:rsid w:val="57DA1989"/>
    <w:rsid w:val="5D2C7D43"/>
    <w:rsid w:val="63AB4186"/>
    <w:rsid w:val="68DE6C8A"/>
    <w:rsid w:val="6C6E11E8"/>
    <w:rsid w:val="6CDE045D"/>
    <w:rsid w:val="6E1B4932"/>
    <w:rsid w:val="70485431"/>
    <w:rsid w:val="70871AD7"/>
    <w:rsid w:val="727A5D97"/>
    <w:rsid w:val="747B67DD"/>
    <w:rsid w:val="76BD5F61"/>
    <w:rsid w:val="77253244"/>
    <w:rsid w:val="7ABD34A3"/>
    <w:rsid w:val="7B290AA3"/>
    <w:rsid w:val="7B2A2023"/>
    <w:rsid w:val="7C1A4147"/>
    <w:rsid w:val="7EDA28DC"/>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5"/>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6"/>
    <w:qFormat/>
    <w:uiPriority w:val="0"/>
    <w:pPr>
      <w:ind w:left="378" w:hanging="378" w:hangingChars="180"/>
    </w:pPr>
    <w:rPr>
      <w:rFonts w:ascii="宋体" w:hAnsi="宋体"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rFonts w:ascii="黑体" w:hAnsi="黑体" w:eastAsia="黑体"/>
      <w:b/>
      <w:sz w:val="28"/>
      <w:szCs w:val="28"/>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7"/>
    <w:qFormat/>
    <w:uiPriority w:val="99"/>
    <w:rPr>
      <w:rFonts w:ascii="黑体" w:hAnsi="黑体" w:eastAsia="黑体"/>
      <w:b/>
      <w:sz w:val="28"/>
      <w:szCs w:val="28"/>
    </w:rPr>
  </w:style>
  <w:style w:type="character" w:customStyle="1" w:styleId="13">
    <w:name w:val="页脚 字符"/>
    <w:basedOn w:val="9"/>
    <w:link w:val="6"/>
    <w:qFormat/>
    <w:uiPriority w:val="99"/>
    <w:rPr>
      <w:sz w:val="18"/>
      <w:szCs w:val="18"/>
    </w:rPr>
  </w:style>
  <w:style w:type="character" w:customStyle="1" w:styleId="14">
    <w:name w:val="批注框文本 字符"/>
    <w:basedOn w:val="9"/>
    <w:link w:val="5"/>
    <w:semiHidden/>
    <w:qFormat/>
    <w:uiPriority w:val="99"/>
    <w:rPr>
      <w:sz w:val="18"/>
      <w:szCs w:val="18"/>
    </w:rPr>
  </w:style>
  <w:style w:type="character" w:customStyle="1" w:styleId="15">
    <w:name w:val="标题 1 字符"/>
    <w:basedOn w:val="9"/>
    <w:link w:val="2"/>
    <w:qFormat/>
    <w:uiPriority w:val="0"/>
    <w:rPr>
      <w:rFonts w:ascii="Times New Roman" w:hAnsi="Times New Roman" w:eastAsia="楷体_GB2312" w:cs="Times New Roman"/>
      <w:b/>
      <w:bCs/>
      <w:w w:val="110"/>
      <w:kern w:val="44"/>
      <w:sz w:val="28"/>
      <w:szCs w:val="44"/>
    </w:rPr>
  </w:style>
  <w:style w:type="character" w:customStyle="1" w:styleId="16">
    <w:name w:val="正文文本缩进 字符"/>
    <w:basedOn w:val="9"/>
    <w:link w:val="4"/>
    <w:qFormat/>
    <w:uiPriority w:val="0"/>
    <w:rPr>
      <w:rFonts w:ascii="宋体" w:hAnsi="宋体" w:eastAsia="宋体" w:cs="Times New Roman"/>
      <w:szCs w:val="20"/>
    </w:rPr>
  </w:style>
  <w:style w:type="paragraph" w:styleId="17">
    <w:name w:val="No Spacing"/>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字符"/>
    <w:basedOn w:val="9"/>
    <w:link w:val="17"/>
    <w:qFormat/>
    <w:uiPriority w:val="1"/>
    <w:rPr>
      <w:kern w:val="0"/>
      <w:sz w:val="2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7000B-CA09-4F1B-93E5-FCDCD3F35E89}">
  <ds:schemaRefs/>
</ds:datastoreItem>
</file>

<file path=docProps/app.xml><?xml version="1.0" encoding="utf-8"?>
<Properties xmlns="http://schemas.openxmlformats.org/officeDocument/2006/extended-properties" xmlns:vt="http://schemas.openxmlformats.org/officeDocument/2006/docPropsVTypes">
  <Template>Normal</Template>
  <Pages>11</Pages>
  <Words>1330</Words>
  <Characters>1388</Characters>
  <Lines>34</Lines>
  <Paragraphs>9</Paragraphs>
  <TotalTime>1</TotalTime>
  <ScaleCrop>false</ScaleCrop>
  <LinksUpToDate>false</LinksUpToDate>
  <CharactersWithSpaces>1388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2018-12-20T01:33:00Z</dcterms:created>
  <dc:creator>尼</dc:creator>
  <cp:keywords>wqs</cp:keywords>
  <cp:lastModifiedBy>clq</cp:lastModifiedBy>
  <dcterms:modified xsi:type="dcterms:W3CDTF">2025-04-23T07:45:39Z</dcterms:modified>
  <dc:subject>实用新型</dc:subject>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93604BF65D274F1D848FE2B63F69165C</vt:lpwstr>
  </property>
  <property fmtid="{D5CDD505-2E9C-101B-9397-08002B2CF9AE}" pid="4" name="KSOTemplateDocerSaveRecord">
    <vt:lpwstr>eyJoZGlkIjoiZWI0MzVkMTg2NTA2NzY3ZDBjNjk1NWJlNTMyNzMxY2YiLCJ1c2VySWQiOiI1MTc4MDU1NDMifQ==</vt:lpwstr>
  </property>
</Properties>
</file>