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酶工程</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，其氨基酸序列源于迟缓芽孢杆菌的碱性蛋白酶基因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在成熟蛋白酶序列中，该突变体包含一个或多个特定氨基酸突变，具体为 T37V、T56Y、N74D、G113L、A168V、T174V、N232Y、S364D、N255W，最优选突变体的氨基酸序列如 SEQ ID NO:4 所示。相较于原始碱性蛋白酶，本突变体在 65℃左右的温度以及 pH 为 11 - 12 的碱性环境中，催化活性更高且更耐热，能更好地适应工业化生产需求</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跟原始的碱性蛋白酶比较，所述的碱性蛋白酶突变体更加耐温并且在pH 11-12以上的碱性环境中，表现出更高的催化活性</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凭借上述优异性能，该类蛋白酶变体在饲料加工和洗涤剂制造等工业领域具有广泛的应用前景。</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ind w:firstLine="1817" w:firstLineChars="0"/>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rFonts w:hint="eastAsia" w:ascii="宋体" w:cs="宋体" w:eastAsiaTheme="majorEastAsia"/>
          <w:color w:val="000000" w:themeColor="text1"/>
          <w:kern w:val="0"/>
          <w:sz w:val="24"/>
          <w:szCs w:val="24"/>
          <w14:textFill>
            <w14:solidFill>
              <w14:schemeClr w14:val="tx1"/>
            </w14:solidFill>
          </w14:textFill>
        </w:rPr>
        <w:drawing>
          <wp:inline distT="0" distB="0" distL="0" distR="0">
            <wp:extent cx="3829050" cy="3436620"/>
            <wp:effectExtent l="0" t="0" r="0" b="1206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l="24565" r="23776"/>
                    <a:stretch>
                      <a:fillRect/>
                    </a:stretch>
                  </pic:blipFill>
                  <pic:spPr>
                    <a:xfrm>
                      <a:off x="0" y="0"/>
                      <a:ext cx="3836805" cy="3444180"/>
                    </a:xfrm>
                    <a:prstGeom prst="rect">
                      <a:avLst/>
                    </a:prstGeom>
                    <a:noFill/>
                    <a:ln>
                      <a:noFill/>
                    </a:ln>
                  </pic:spPr>
                </pic:pic>
              </a:graphicData>
            </a:graphic>
          </wp:inline>
        </w:drawing>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，其特征在于：其氨基酸序列源于迟缓芽孢杆菌的碱性蛋白酶基因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在成熟蛋白酶序列中，该突变体包含一个或多个特定氨基酸突变，具体为 T37V、T56Y、N74D、G113L、A168V、T174V、N232Y、S364D、N255W，最优选突变体的氨基酸序列如 SEQ ID NO:4 所示。相较于原始碱性蛋白酶，本突变体在 65℃左右的温度以及 pH 为 11 - 12 的碱性环境中，催化活性更高且更耐热，能更好地适应工业化生产需求</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，其特征在于：编码上述碱性蛋白酶突变体的核苷酸序列如 SEQ ID NO:3 所示，此序列是对原始碱性蛋白酶基因进行针对性改造获得，为突变体的表达提供遗传信息。</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，其特征在于：用于表达本发明碱性蛋白酶突变体的表达载体，包含启动子序列（SEQ ID NO:5）、天然或合成的核糖体结合位点 “aggggaggag”、编码碱性蛋白酶变体的基因序列（SEQ ID NO:3）、合成的终止子序列（SEQ ID NO:6）以及插入在启动子上游的天然信号序列（SEQ ID NO:7）。这些元件协同作用，保障碱性蛋白酶突变体在宿主细胞中的高效表达与正确分泌。</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，其特征在于：用于表达本发明碱性蛋白酶突变体的重组细胞含有上述表达载体。宿主细胞优选为基因工程改造后失活了 AprE 和 / 或 BlasE 基因的地衣芽孢杆菌（Bacillus licheniformis）。经改造后，减少了宿主细胞内源性蛋白酶对目标突变体的降解，提高了突变体的表达和分泌效率。</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本发明碱性蛋白酶突变体的生产方法，是在适宜碱性蛋白酶变体表达的条件下，培养含有编码碱性蛋白酶突变体基因序列的重组细胞，然后从该细胞或其培养上清中提取目标蛋白酶变体。可采用摇瓶发酵或分步补料发酵等工艺进行大规模生产，通过优化发酵条件可实现突变体的高产。</w:t>
      </w:r>
    </w:p>
    <w:p w14:paraId="7E2E39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6.根据权利要求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碱性蛋白酶突变体在饲料加工、洗涤剂制造等工业领域具有广泛的应用前景，尤其适用于需要在高温和高 pH 环境下进行的蛋白水解过程。</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一种新型的碱性蛋白酶突变体</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酶工程</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47941341">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工业生产领域，碱性蛋白酶应用极为广泛。其常与中性蛋白酶、风味酶等协同工作，对蛋白质大分子进行降解。降解产生的小分子肽或游离氨基酸，在饲料加工、食品制造、皮革软化、洗涤剂添加以及医药等众多行业发挥着关键作用，具有显著的商业价值。</w:t>
      </w:r>
    </w:p>
    <w:p w14:paraId="0B99CE1C">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碱性蛋白酶隶属于丝氨酸蛋白酶家族，具备典型的催化三联体（Ser-His-Asp）结构，且在活性中心附近存在特定的底物识别位点。这些识别位点虽通常仅能容纳短肽链，但多个酶分子协同作用时，可实现对较长蛋白质链的多点结合与切割，进而高效分解蛋白大分子。</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目前，已从多种微生物中发现并应用了具有商业价值的碱性蛋白酶，其中迟缓芽孢杆菌（Bacillus lentus）来源的碱性蛋白酶及其突变体研究和应用较为广泛。该类酶凭借良好的热稳定性和高碱适应性，在洗涤剂、皮革处理及食品加工等行业占据重要地位。然而，随着工业的发展，对碱性蛋白酶在高温、高碱条件下的性能提出了更高要求。现有碱性蛋白酶在这些极端条件下的活性和稳定性不足，难以满足不断增长的工业化生产需求。因此，研发性能更优的碱性蛋白酶突变体成为学术界和工业界共同关注的重要方向</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一种新型的碱性蛋白酶突变体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56A2326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的技术方案是这样实现的：一种碱性蛋白酶突变体，所述的碱性蛋白酶变体通过Bacillus lentus碱性蛋白酶原始序列进行至少一个氨基酸突变而获得，最优选的突变体其氨基酸序列如SEQ ID NO:4所示。</w:t>
      </w:r>
    </w:p>
    <w:p w14:paraId="7948DB7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所述的Bacillus lentus碱性蛋白酶原始序列的全长编码基因序列见SEQ ID NO .1对应的序列所示。</w:t>
      </w:r>
    </w:p>
    <w:p w14:paraId="2BC9BC8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本发明的目的是提供一种Bacillus lentus碱性蛋白酶原始序列的突变体，我们发现其中一种突变体相比于原始序列在高pH（11-12）范围内，具有更高的催化活性，最佳反应温度也从原来的55〫C提高到65〫C，其性能在特定的应用环境中优于市场主流碱性蛋白酶产品。</w:t>
      </w:r>
    </w:p>
    <w:p w14:paraId="6C56E83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本发明的目的是提供编码该Bacillus lentus碱性蛋白酶序列突变体的基因及菌种构建方法。</w:t>
      </w:r>
    </w:p>
    <w:p w14:paraId="28B2571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本发明的又一目的是提供该Bacillus lentus碱性蛋白酶序列突变体的生产方法。</w:t>
      </w:r>
    </w:p>
    <w:p w14:paraId="23EBAD6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本发明的目的可通过以下技术方案实现：</w:t>
      </w:r>
    </w:p>
    <w:p w14:paraId="0DFB0C5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一种Bacillus lentus碱性蛋白酶序列突变体，所述的碱性蛋白酶序列突变体通过Bacillus lentus碱性蛋白酶序列进行至少一个氨基酸位点突变而获得。</w:t>
      </w:r>
    </w:p>
    <w:p w14:paraId="3393092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所述的Bacillus lentus碱性蛋白酶原始序列的全长编码基因序列见SEQ ID NO .1；对应的氨基酸序列见SEQ ID NO .2。</w:t>
      </w:r>
    </w:p>
    <w:p w14:paraId="7549C87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所述的Bacillus lentus碱性蛋白酶序列突变体的氨基酸序列如SEQ ID NO .4所示。</w:t>
      </w:r>
    </w:p>
    <w:p w14:paraId="0A52614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编码本发明所述的的Bacillus lentus碱性蛋白酶序列突变体的核苷酸编码序列优选如SEQ ID NO .3所示。</w:t>
      </w:r>
    </w:p>
    <w:p w14:paraId="679DDE0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用于表达本发明所述的碱性蛋白酶序列突变体的表达载体，其中含有本发明所述的编码Bacillus lentus碱性蛋白酶序列突变体的基因。</w:t>
      </w:r>
    </w:p>
    <w:p w14:paraId="778F2DA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所述的表达载体包括主要由一个天然或者合成的启动子序列，一个天然或合成的</w:t>
      </w:r>
    </w:p>
    <w:p w14:paraId="7D9A7C0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核糖体结合位点，一个天然或合成的终止子序列，以及本发明所述的编码Bacillus lentus碱性蛋白酶突变体的基因序列一同组成了一个表达组件。</w:t>
      </w:r>
    </w:p>
    <w:p w14:paraId="13FB30B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一种用于表达本发明所述的Bacillus lentus碱性蛋白酶变体的重组细胞，其中包含一个或多个本发明所述的编码Bacillus lentus碱性蛋白酶突变体的基因。</w:t>
      </w:r>
    </w:p>
    <w:p w14:paraId="08C8A89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重组细胞的宿主细胞优选自Bacillus菌株,进一步优选Bacillus licheniformis或经过基因工程改造失活了一些内源性蛋白的其他Bacillus菌株；最优选经过基因工程改造失活了AprE和/或BlasE基因的Bacillus licheniformis。</w:t>
      </w:r>
    </w:p>
    <w:p w14:paraId="4F047AB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一种本发明所述的碱性蛋白酶突变体的生产方法，包括在适宜碱性蛋白酶变体表达的条件下对含有编码碱性蛋白酶突变体基因序列的重组细胞进行培养，并从重组细胞或者其培养上清液中获得碱性蛋白酶变体。</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本发明所述的碱性蛋白酶突变体优选在高温和/或高pH条件下水解蛋白中的检测；所述的高温优选65℃；所述的高pH优选pH值为11～11.5，可适用于饲料和洗涤行业</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bookmarkStart w:id="0" w:name="_GoBack"/>
      <w:bookmarkEnd w:id="0"/>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6701D489">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发明pYF-ts000载体，包括一个温度敏感原件(30℃时有复制活性)，一个红霉素决定基因(ErmC)--在E .coli中可以耐受300μg/mL的红霉素而在Bacillus licheniformis中可以耐受5μg/mL的红霉素。用红霉素筛选出含有编码碱性蛋白酶突变体核苷酸序列的重组宿主细胞</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A06AB67">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的pYF-tsINT-Pro载体图</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，展示了 pYF - tsINT - Pro 载体的构建方式和结构，此载体用于将碱性蛋白酶突变体表达框整合到地衣芽孢杆菌基因组的 AmyE 位点，确保突变体基因稳定表达</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E6302D8">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的酶促温度反应曲线比较图</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，对比了原始碱性蛋白酶和本发明碱性蛋白酶突变体在不同温度下的酶活性。结果显示，突变体在 65℃时酶活性最高，原始蛋白酶在 55℃时酶活性最高，且突变体在高温下的稳定性显著优于原始蛋白酶</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图4为本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14:textFill>
            <w14:solidFill>
              <w14:schemeClr w14:val="tx1"/>
            </w14:solidFill>
          </w14:textFill>
        </w:rPr>
        <w:t>酶促pH反应曲线比较图</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，呈现了原始碱性蛋白酶和突变体在不同 pH 条件下的酶活性变化。突变体在 pH 11.5 时酶活性最高，原始蛋白酶在 pH 10 时酶活性最高，突变体在高 pH 环境下的适应性和稳定性更强</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7DE8CCB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实施例1:pYF-ts000质粒的构建</w:t>
      </w:r>
    </w:p>
    <w:p w14:paraId="7FAD43D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pYF-ts000 (图1)是一个温敏型的E .coli/B .licheniformis穿梭质粒。该质粒由一个温度敏感型的复制起点(在30℃有活性)和一个红霉素抗性基因(ErmC)组成，该抗性基因在E .coli中的抗性是300ug/ml，B .licheniformis中的抗性是5ug/ml。在37℃时，质粒上的复制起点失活，质粒被整合到宿主菌基因组的指定位点，用ErmC进行筛选。</w:t>
      </w:r>
    </w:p>
    <w:p w14:paraId="0EE5E1C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pYF-tsDE质粒的构建过程为：将质粒pUC57-YF-erm(本公司实验室保存)用BglII双酶切，回收纯化3 .8kbp的片段，用T4连接酶(NEB 公司提供)自连，克隆好的质粒就是pYF-tsDE。转化子在E .coli TOP10中进行繁殖，并且作为以下所有基因操作的骨架。</w:t>
      </w:r>
    </w:p>
    <w:p w14:paraId="3AA990D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实施例2:蛋白酶缺陷型B .licheniformis菌株的构建</w:t>
      </w:r>
    </w:p>
    <w:p w14:paraId="07BEE3E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作为重组酶产品宿主细胞的遗传工程菌株已经有文献报道(Widner et al .,Journal of Industrial Microbiology&amp;Biotechnology ,25 ,204-212 ,2000)。这些重组的宿主细胞一般包含一个或多个编码目标序列的核酸结构用以酶的表达。在本发明中，B .licheniformis被用作基因操作的受体菌。Bacillus的转化目前可以通过非常成熟的手段来达到，如感受态细胞转化，电转化和原生质体转化(Young et al .,J Bacteriology ,</w:t>
      </w:r>
    </w:p>
    <w:p w14:paraId="225EE7E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81 ,823-829 ,1961；Shigekawa et al .,Biotechniques ,6 ,742-751 ,1988；Chang et al .,Molecular General Genetics ,168 ,111-115 ,1979)。</w:t>
      </w:r>
    </w:p>
    <w:p w14:paraId="2D7D29E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在本发明中，一个单独的碱性蛋白酶突变体表达框，包含自然的或合成的启动子序列，一个从杆菌中筛选到的信号肽序列，一个合成的核糖体结合位点，一个来自于B .Lentus的碱性蛋白酶突变体编码基因，和一个转录终止子。这样的设计将大大增强宿主菌株中基因的表达水平和碱性蛋白酶突变体的分泌量。将碱性蛋白酶突变体编码基因替换掉B .licheniformis细胞基因组上的特定位点是通过质粒介导的单交叉同源重组来实现的。</w:t>
      </w:r>
    </w:p>
    <w:p w14:paraId="239517D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在B .licheniformis中，胞外蛋白酶的活性对异种酶的分泌是不利的。现已证实有2种主要的胞外蛋白酶：subtilisin(AprE)，glutamic acid-specific protease(Blase)，在B .licheniformis中大部分的胞外蛋白酶活性都是源自于这两种蛋白酶。</w:t>
      </w:r>
    </w:p>
    <w:p w14:paraId="3B52649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在本发明中，为了获得碱性蛋白酶突变体基因表达的结构整体性，上述两个基因被灭活，采用的是连续性方式单交叉坎贝尔型机制。具体操作如下：</w:t>
      </w:r>
    </w:p>
    <w:p w14:paraId="7B9529A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pYF-tsDE经由BglII酶切后用CIP处理来抑制自连；</w:t>
      </w:r>
    </w:p>
    <w:p w14:paraId="4934E2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基因敲除</w:t>
      </w:r>
    </w:p>
    <w:p w14:paraId="1ABFA5F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为了能够获得每个基因缺失片段，以地衣杆菌基因组DNA为模板用PCR的方法从要缺失的基因两侧各扩增大约500bp的同源序列。枯草芽孢杆菌的单克隆经过98℃ ,5分钟预变性后可以作为基因组DNA模板直接在PCR反应中使用。</w:t>
      </w:r>
    </w:p>
    <w:p w14:paraId="7F625B3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用于PCR反应的引物是由擎科生物合成的。引物序列如下：</w:t>
      </w:r>
    </w:p>
    <w:p w14:paraId="7F4F5B6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扩增Apr基因上游序列的引物为：</w:t>
      </w:r>
    </w:p>
    <w:p w14:paraId="261A6F7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lichApr_F1 TTATTGAGCGGCAGCTTCGACATTGATCAGACCTT</w:t>
      </w:r>
    </w:p>
    <w:p w14:paraId="43F9EA1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lichApr_R1 CCTTACGGCATTCCTCTCAACAGCGGATCTTCAG</w:t>
      </w:r>
    </w:p>
    <w:p w14:paraId="129B2FC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扩增Apr基因下游序列的引物为：</w:t>
      </w:r>
    </w:p>
    <w:p w14:paraId="16B5FD6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lichApr_F2 CCTGAAGATCCGCTGTTGAGAGGAATGCCGTAAGG</w:t>
      </w:r>
    </w:p>
    <w:p w14:paraId="13AB69E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lichApr_R2 ATGATGAGGAAAAAGAGTTTTTGGCTTGGGATGCTGAC</w:t>
      </w:r>
    </w:p>
    <w:p w14:paraId="439E6E7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扩增Blase基因上游序列的引物为：</w:t>
      </w:r>
    </w:p>
    <w:p w14:paraId="18D101B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blalich_F1 TTATTGTGCGCTGTTTTTCCAGTTGGTCAAATTGTCG</w:t>
      </w:r>
    </w:p>
    <w:p w14:paraId="1B9BB2D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blalich_cR1 CGGACAAGGGTCACCAACGGGACAACTGTTACCATC</w:t>
      </w:r>
    </w:p>
    <w:p w14:paraId="5829AB2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扩增Blase基因下游序列的引物为：</w:t>
      </w:r>
    </w:p>
    <w:p w14:paraId="2C1E942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blalich_cF2 GATGGTAACAGTTGTCCCGTTGGTGACCCTTGTCC</w:t>
      </w:r>
    </w:p>
    <w:p w14:paraId="26B6807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blalich_R2 CGGCGTTGGTTAGTAAAAAGAGTGTTAAACGAGGTTTGAT</w:t>
      </w:r>
    </w:p>
    <w:p w14:paraId="0EB2D97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PCR扩增体系为50ul，反应程序如下：</w:t>
      </w:r>
    </w:p>
    <w:p w14:paraId="1A851A5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枯草芽孢杆菌B .licheniformis 14580单克隆预变性98℃，8分钟；</w:t>
      </w:r>
    </w:p>
    <w:p w14:paraId="78BF6D5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96℃，15秒；</w:t>
      </w:r>
    </w:p>
    <w:p w14:paraId="2E01E80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58℃，15秒；</w:t>
      </w:r>
    </w:p>
    <w:p w14:paraId="5770511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72℃，30秒；重复2-4步骤25-30次；</w:t>
      </w:r>
    </w:p>
    <w:p w14:paraId="3A5B986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终延伸72℃，2分钟。</w:t>
      </w:r>
    </w:p>
    <w:p w14:paraId="58DBBE4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PCR产物用0 .8％琼脂糖胶电泳检测后用爱思进试剂盒纯化。</w:t>
      </w:r>
    </w:p>
    <w:p w14:paraId="3E13D05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重叠PCR方法扩增内部大约400-500bp序列缺失的目的基因</w:t>
      </w:r>
    </w:p>
    <w:p w14:paraId="56ADB86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基因内部缺失片段是用重叠PCR方法(overlap extension PCR，SOE)获得的，具体操作如下：</w:t>
      </w:r>
    </w:p>
    <w:p w14:paraId="55B3117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分别回收各基因上游、下游PCR片段并纯化；</w:t>
      </w:r>
    </w:p>
    <w:p w14:paraId="78ADDE4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以各目的基因的上、下游同源序列片段1:1摩尔比混合后作为模板，用引物XXCZ-</w:t>
      </w:r>
    </w:p>
    <w:p w14:paraId="69A0CD3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F1和XX-CZ-R2(“XX”代表Apr或Blase)PCR扩增获得内部缺失片段的AprE基因或Blase基因。</w:t>
      </w:r>
    </w:p>
    <w:p w14:paraId="7748F2F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上述片段随后用Gibson Assembly(NEB公司提供)重组进经过BglII线性化的pYF-tsDE载体中，获得的重组质粒分别命名为：pYF-ts-Apr和pYF-ts-Blase。这些重组质粒为温敏型质粒，其中包含的Apr基因或Blase基因相对于完整基因来说缺失了内部大约400-500bp的序列。</w:t>
      </w:r>
    </w:p>
    <w:p w14:paraId="06F7C51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不同等位基因的替换可通过同源重组来实现，也可使用本领域的其他公知的同源重组的方法。</w:t>
      </w:r>
    </w:p>
    <w:p w14:paraId="23D82CD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质粒转化</w:t>
      </w:r>
    </w:p>
    <w:p w14:paraId="5D4BBAB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本实验采用将敲除质粒转化到地衣杆菌感受态细胞中方法及筛选过程如下：</w:t>
      </w:r>
    </w:p>
    <w:p w14:paraId="2FEE32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将温敏型质粒pYF-ts-Apr或pYF-ts-Blase转化地衣杆菌(CICC 22794，中国微生物菌种库购得)感受态细胞；</w:t>
      </w:r>
    </w:p>
    <w:p w14:paraId="003A762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在30℃的条件下，在LB(每升含蛋白胨10g，酵母膏5g，氯化钠10g)培养基上用红霉素(5ug/ml)抗性来筛选阳性克隆菌株；</w:t>
      </w:r>
    </w:p>
    <w:p w14:paraId="3E4F6E2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再将阳性克隆菌株转移到37℃的条件下培养，使该温敏质粒能够融合到宿主基因组上。为了使基因在设定的位点发生替换，挑选几个克隆同时接种于2×YT培养基中连续培养24小时后重新继代一次，整个过程继代4-5次(一般需要5-7天)。</w:t>
      </w:r>
    </w:p>
    <w:p w14:paraId="7F668B2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筛选红霉素敏感的地衣芽孢杆菌细胞进行PCR鉴定.可同时用1％的脱脂牛奶LB平板观察透明水解圈，敲除后的菌种应显示显著缩小的水解圈。</w:t>
      </w:r>
    </w:p>
    <w:p w14:paraId="61C9C8E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鉴定所用PCR引物：</w:t>
      </w:r>
    </w:p>
    <w:p w14:paraId="15B9772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AprE：Apr-seqF1/Apr-seqR3</w:t>
      </w:r>
    </w:p>
    <w:p w14:paraId="1E4CF8D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Blase：Blase-seqF1/Blase-seqR3</w:t>
      </w:r>
    </w:p>
    <w:p w14:paraId="4DDFDCF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Apr-seqF1：GCCAGGTTGAAGCGGTCTATTCAT</w:t>
      </w:r>
    </w:p>
    <w:p w14:paraId="17583A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Apr-seqR3：TACGGCCATCCGACCATAATGGAAC</w:t>
      </w:r>
    </w:p>
    <w:p w14:paraId="1197908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Blase-seqF1：GAAGAGCCGGTCACAATTGC</w:t>
      </w:r>
    </w:p>
    <w:p w14:paraId="4EDBF99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Blase-seqR3：GGCCGTTAGATGTGACAGCC</w:t>
      </w:r>
    </w:p>
    <w:p w14:paraId="499EA34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实施例3:碱性蛋白酶突变体菌株的整合构建</w:t>
      </w:r>
    </w:p>
    <w:p w14:paraId="7D6C01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碱性蛋白酶突变体表达框架构建</w:t>
      </w:r>
    </w:p>
    <w:p w14:paraId="67FBCB7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整合质粒的构建采用上述pYF-tsDE质粒同样的方法。为了将表达框整合到设计的基因组上的AmyE位点，在基因组上的AmyE位点的上下游设计800bp左右的同源区域，连接在一个碱性蛋白酶突变体表达框两侧。同时组装了一些从头至尾自然选择的细菌染色体DNA片段和功能的合成序列，这些都是控制表达碱性蛋白酶突变体基因所必须的。</w:t>
      </w:r>
    </w:p>
    <w:p w14:paraId="463C685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一个典型的碱性蛋白酶突变体表达框</w:t>
      </w:r>
    </w:p>
    <w:p w14:paraId="191CD78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由以下元件组成：一个天然的或合成的启动子序列(SEQ ID NO .5)，一个合成的核糖体结合位点aggggaggag，一个源自于B .lentus的碱性蛋白酶突变体编码基因(分别为SEQ ID NO .3)和一个合成的终止序列(SEQ ID NO .6)。一个天然信号序列(SEQ ID:NO .7)被插入到碱性蛋白酶突变体编码基因启动子的上游，用以增强表达酶的分泌效率。用Gibson Assembly将完整的碱性蛋白酶突变体表达框插入线性化的pYFts000中的BglII位点，最终得到的温敏型整合质粒被命名为pYF-tsINT-Pro(图2)。上述序列的合成由擎科生物来完成，将上述序列依次无缝串联得到碱性蛋白酶突变体表达框。本框架中信号肽序列选用天然的碱性蛋白酶信号肽，能够有效的提高碱性蛋白酶突变体的分泌。</w:t>
      </w:r>
    </w:p>
    <w:p w14:paraId="0CA5449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质粒转化</w:t>
      </w:r>
    </w:p>
    <w:p w14:paraId="0E2E3EA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将上述整个碱性蛋白酶突变体表达框(包含amyE基因上下游同源片段)利用重组技术环化BglII线性化的pYF-ts000质粒，构建好的温敏型质粒命</w:t>
      </w:r>
    </w:p>
    <w:p w14:paraId="6800945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名为pYF-tsINT-Pro。该质粒用于转化至AprE及Blase蛋白酶基因缺失的地衣芽孢杆菌中(CICC 22794，中国微生物菌种库购得)，无抗性标记的碱性蛋白酶突变体表达框将替换AmyE。采用上述的方法，成功整合碱性蛋白酶突变体编码基因至B .licheniformis染色体上的菌株在1％的脱脂牛奶平板上产生明显的透明圈，PCR进一步验证表达框被整合在受体菌株的AmyE位点。</w:t>
      </w:r>
    </w:p>
    <w:p w14:paraId="5DB7A99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产碱性蛋白酶突变体的B .licheniformis工程菌株在-80℃保存。</w:t>
      </w:r>
    </w:p>
    <w:p w14:paraId="1CD5FB1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实施例4:碱性蛋白酶突变体生产的摇瓶发酵</w:t>
      </w:r>
    </w:p>
    <w:p w14:paraId="0492DC3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取一个活化的细菌单克隆(含有碱性蛋白酶突变体表达框)，接种到20ml培养基中(含有麦芽糖浆4 .0％，蛋白胨2 .0％，酵母粉0 .1％KH2PO4 0 .6％以及相应抗生素)培养到对数期。取1 .2ml培养液接种到30ml培养基中(含有麦芽糖浆12 .0％，蛋白胨1 .0％，酵母粉1％KH2PO4 0 .2％，MnCl2 0 .003％)，在往复摇床中120rpm振荡培养3天。分别在24小时，48小时和72小时取样1ml，1000rpm离心1min，将上清液保存。</w:t>
      </w:r>
    </w:p>
    <w:p w14:paraId="04D8279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实施例5:碱性蛋白酶突变体分步补料发酵工艺</w:t>
      </w:r>
    </w:p>
    <w:p w14:paraId="008219F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将实施例3中得到的-80℃冷冻保存的基因工程B .licheniformis菌株划线与琼脂斜面上，37℃过夜恢复培养。琼脂斜面配方如下：蛋白胨1％，酵母提取物0 .5％，NaCl 1％，琼脂粉2％。</w:t>
      </w:r>
    </w:p>
    <w:p w14:paraId="2E910AD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首先，选取数个新鲜克隆在盛有50ml培养基的种子摇瓶中于37℃培养16小时。种子摇瓶配方：麦芽糖浆4 .0％，蛋白胨2 .0％，酵母提取物0 .1％，KH2PO4 0 .6％。16小时后，将所有的种子发酵液全部转移至盛有4 L培养基的7 L不锈钢发酵罐中于37℃ ，搅拌速度350rpm，通气速率为650L/H的条件下持续发酵12小时。发酵罐配方：麦芽糖浆6 .0％，蛋白胨1 .0％，酵母提取物1％，KH2PO4 0 .2％，MnCl2 0 .003％。然后用5％磷酸控制发酵pH在5 .7±0 .2左右，并在前18小时以速率1L/18hrs后110小时以速率0 .5L/18hrs向发酵罐中不断补料。补料配方如下：麦芽糖浆48％，蛋白胨6％，酵母提取物8％。整个发酵过程持续140-150小时。收集并在4℃，1010krpm，30分钟离心发酵罐中所有培养基，离心后的上清用于碱性蛋白酶突变体酶活分析。</w:t>
      </w:r>
    </w:p>
    <w:p w14:paraId="0D444D1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实施例6:碱性蛋白酶活力测定 （GB/T 42239.1-2022）</w:t>
      </w:r>
    </w:p>
    <w:p w14:paraId="609F9BB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碱性蛋白酶活力测定采用的是福林法。蛋白酶酶活定义为1g固体酶粉（或1mL液体酶），在pH 10.5，40℃条件下，1min水解酪蛋白产生1µg酪氨酸，即为一个酶活力单位，以u/g(或u/mL)表示。酪氨酸、色氨酸等含酚基物质，在碱性条件下，将福林试剂还原，生成蓝色物质，在分光光度计680nm波长下测定吸光度，由此计算酶活力。</w:t>
      </w:r>
    </w:p>
    <w:p w14:paraId="2783769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实施例7：碱性蛋白酶酶学性质分析</w:t>
      </w:r>
    </w:p>
    <w:p w14:paraId="1323300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酶促温度反应曲线：</w:t>
      </w:r>
    </w:p>
    <w:p w14:paraId="27A15C5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如无特殊说明，溶液配制以及样品检测与上述检测方法操作规程一致。 </w:t>
      </w:r>
    </w:p>
    <w:p w14:paraId="6B3D155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称取2.000g样品，准确加入100mL缓冲液后搅拌20min，取过滤清液稀释到既定范围进行检测； 将水浴锅分别设置为（30℃、35℃、40℃、45℃、50℃、55℃、60℃、65℃、70℃），然后将在各个温度点预热好的样品依法检测酶活。 </w:t>
      </w:r>
    </w:p>
    <w:p w14:paraId="7EBF773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实验结果表明，经过本发明改造后的碱性蛋白酶突变体（序列表编号SEQ ID NO: 4）在65°C条件下展现出最高酶活性，即其最适反应温度为65°C。相比之下，原始碱性蛋白酶序列（序列表编号SEQ ID NO: 2）的最适反应温度仅为55°C。进一步测试发现，原始序列在超过55°C的温度环境中活性迅速下降，尤其是在70°C及以上条件下，其酶活性损失超过80%，表现出明显的热不稳定性。而本发明提供的突变体在更高温度下仍能保持良好的催化活性，耐热性能显著优于原始序列，充分验证了突变设计对提升酶热稳定性的有效性。</w:t>
      </w:r>
    </w:p>
    <w:p w14:paraId="2DDC286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酶促pH反应曲线</w:t>
      </w:r>
    </w:p>
    <w:p w14:paraId="6EDA7EA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如无特殊说明，溶液配制以及样品检测与上述检测方法操作规程一致。 </w:t>
      </w:r>
    </w:p>
    <w:p w14:paraId="24D329F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pH缓冲液：通过调节缓冲液中的盐和酸的混合比例得到不同pH（6.0、7.0、8.0、9.0、10.0、10.5、11.0、11.5、12.0）的缓冲液； </w:t>
      </w:r>
    </w:p>
    <w:p w14:paraId="50A24A3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1.样品准备：称取2.000g样品，准确加入100mL缓冲液后搅拌20min，取过滤清液使用不同pH值缓冲溶液稀释到既定范围进行检测； </w:t>
      </w:r>
    </w:p>
    <w:p w14:paraId="3CDFF4B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底物配制：配制不同pH（6.0、7.0、8.0、9.0、10.0、10.5、11.0、11.5、12.0）的底物，参与反应。 </w:t>
      </w:r>
    </w:p>
    <w:p w14:paraId="3973190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实验结果显示，经过本发明改造得到的碱性蛋白酶突变体（对应序列表编号SEQ ID NO: 4）在pH 11.5的碱性条件下展现出最高催化活性，最适反应pH显著高于原始碱性蛋白酶（对应序列表编号SEQ ID NO: 2）。对比实验进一步确认，原始蛋白酶的最适反应pH为10，且在pH值高于10.5时，其酶活性明显下降，表现出较差的高碱稳定性。而本发明提供的突变体在pH 10至pH 12的宽广碱性范围内，仍能保持较高的酶活性和良好的催化性能，明显优于原始序列。上述结果充分表明，通过本发明的定向突变设计，成功提升了碱性蛋白酶在高pH环境下的适应性与稳定性，从而拓展了其在高碱性工业应用中的潜在使用价值。</w:t>
      </w:r>
    </w:p>
    <w:p w14:paraId="2D4BB5E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综上所述，依据本发明所进行的一系列实验数据可以清楚地得出结论：经过本发明改造并优化的碱性蛋白酶突变体（序列表编号SEQ ID NO: 4），在高温及高pH值条件下均表现出优异的应用性能。具体而言，突变体在65°C条件下达到最适催化活性，相比原始蛋白酶（序列表编号SEQ ID NO: 2）55°C的最适温度，有效提升了10°C，体现出良好的耐热性能；同时，在70°C以上的高温环境中，原始蛋白酶酶活性迅速下降80%以上，而突变体则能够维持较高的催化活性，表现出显著的热稳定性。</w:t>
      </w:r>
    </w:p>
    <w:p w14:paraId="205815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此外，在pH稳定性方面，突变体在pH 11.5时达到最高活性，相比原始蛋白酶最适pH 10，有了明显提升。更重要的是，在pH 10至12的宽广碱性范围内，突变体能够维持稳定而高效的酶活性，而原始序列在pH高于10.5时活性迅速丧失，适应范围较窄。因此，本发明中的碱性蛋白酶突变体不仅在单一因素下（如高温或高pH）展现出优越性能，在同时兼具高温与高碱性环境的苛刻应用条件下，同样表现出卓越的稳定性和催化效率。</w:t>
      </w:r>
    </w:p>
    <w:p w14:paraId="1362E14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实验结果充分验证了本发明中所采用的突变策略的科学性与有效性，所获得的突变体具备优于原始序列的耐热性及耐碱性，极大地拓宽了其在饲料加工，洗涤剂、纺织处理及其他需高温高碱条件下的工业应用潜力。</w:t>
      </w:r>
    </w:p>
    <w:p w14:paraId="436BDF1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本发明的实施例除了应用了本领域内的技术方法外，更离不开发明主旨的指导。因此，本发明不仅限于所公开的具体实施例，更要覆盖本发明精神和范围内的修订条款，详见权利要求。</w:t>
      </w:r>
    </w:p>
    <w:p w14:paraId="701871E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序列表</w:t>
      </w:r>
    </w:p>
    <w:p w14:paraId="7029DF4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1</w:t>
      </w:r>
    </w:p>
    <w:p w14:paraId="50D9FE5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Bacillus lentus的碱性蛋白酶原始的全长编码基因序列</w:t>
      </w:r>
    </w:p>
    <w:p w14:paraId="51A84DA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tgaagaaaccgttggggaaaattgtcgcaagcaccgcactactcatttctgttgcttttagttcatcgatcgcatcggctgctgaagaagcaaaagaaaaatatttaattggctttaatgagcaggaagctgtcagtgagtttgtagaacaagtagaggcaaatgacgaggtcgccattctctctgaggaagaggaagtcgaaattgaattgcttcatgaatttgaaacgattcctgttttatccgttgagttaagcccagaagatgtggacgcgcttgaactcgatccagcgatttcttatattgaagaggatgcagaagtaacgacaatggcgcaatcagtgccatggggaattagccgtgtgcaagccccagctgcccataaccgtggattgacaggttctggtgtaaaagttgctgtcctcgatacaggtatttccactcatccagacttaaatattcgtggtggcgctagctttgtaccaggggaaccatccactcaagatgggaatgggcatggcacgcatgtggccgggacgattgctgctttaaacaattcgattggcgttcttggcgtagcgccgagcgcggaactatacgctgttaaagtattaggggcgagcggttcaggttcggtcagctcgattgcccaaggattggaatgggcagggaacaatggcatgcacgttgctaatttgagtttaggaagcccttcgccaagtgccacacttgagcaagctgttaatagcgcgacttctagaggcgttcttgttgtagcggcatctgggaattcaggtgcaggctcaatcagctatccggcccgttatgcgaacgcaatggcagtcggagctactgaccaaaacaacaaccgcgccagcttttcacagtatggcgcagggcttgacattgtcgcaccaggtgtaaacgtgcagagcacatacccaggttcaacgtatgccagcttaaacggtacatcgatggctactcctcatgttgcaggtgcagcagcccttgttaaacaaaagaacccatcttggtccaatgtacaaatccgcaatcatctaaagaatacggcaacgagcttaggaagcacgaacttgtatggaagcggacttgtcaatgcagaagcggcaacacgctaa</w:t>
      </w:r>
    </w:p>
    <w:p w14:paraId="2A475F2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2</w:t>
      </w:r>
    </w:p>
    <w:p w14:paraId="3C3C22F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Bacillus lentus的碱性蛋白酶原始的氨基酸序列</w:t>
      </w:r>
    </w:p>
    <w:p w14:paraId="3DA3959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MKKPLGKIVASTALLISVAFSSSIASAAEEAKEKYLIGFNEQEAVSEFVEQVEANDEVAILSEEEEVEIELLHEFETIPVLSVELSPEDVDALELDPAISYIEEDAEVTTMAQSVPWGISRVQAPAAHNRGLTGSGVKVAVLDTGISTHPDLNIRGGASFVPGEPSTQDGNGHGTHVAGTIAALNNSIGVLGVAPSAELYAVKVLGASGSGSVSSIAQGLEWAGNNGMHVANLSLGSPSPSATLEQAVNSATSRGVLVVAASGNSGAGSISYPARYANAMAVGATDQNNNRASFSQYGAGLDIVAPGVNVQSTYPGSTYASLNGTSMATPHVAGAAALVKQKNPSWSNVQIRNHLKNTATSLGSTNLYGSGLVNAEAATR</w:t>
      </w:r>
    </w:p>
    <w:p w14:paraId="10E9C19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3</w:t>
      </w:r>
    </w:p>
    <w:p w14:paraId="00DA095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优选的碱性蛋白酶突变体的核苷酸编码序列</w:t>
      </w:r>
    </w:p>
    <w:p w14:paraId="0C04985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tgaagaaaccgttggggaaaattgtcgcaagcaccgcactactcatttctgttgcttttagttcatcgatcgcatcggctgctgaagaagcaaaagaaaaatatttaattggctttaatgagcaggaagctgtcagtgagtttgtagaacaagtagaggcaaatgacgaggtcgccattctctctgaggaagaggaagtcgaaattgaattgcttcatgaatttgaaacgattcctgttttatccgttgagttaagcccagaagatgtggacgcgcttgaactcgatccagcgatttcttatattgaagaggatgcagaagtaacgacaatggcgcaatcagtgccatggggaatttctcgtgtgcaagccccagctgcccataaccgtggattgacaggttctggtgtaaaagttgctgtcctcgatacaggtatttccgttcatccagacttaaatattcgtggtggcgctagctttgtaccaggggaaccatcctatcaagatggtaatgggcatggcacgcatgtggccgggacgattgctgctttagataattcgattggcgttcttggcgtagcgccgagcgcggaactatacgctgttaaagtattaggggcgagcggttcaggttcggtcagctcgattgcccaaggattggaatgggcattaaacaatggcatgcacgttgctaatttgagtttaggaagcccttcgccaagtgccacacttgagcaagctgttaatagcgcgacttctagaggcgttcttgttgtagcggcatctgggaattcaggtgcaggctcaatcagctatccggcccgttatgcgaacgtaatggcagtcggagctgtagaccaaaacaacaaccgcgccagcttttcacagtatggcgcagggcttgacattgtcgcaccaggtgtaaacgtgcagagcacatacccaggttcaacgtatgccagcttaaacggtacatcgatggctactcctcatgttgcaggtgcagcagcccttgttaaacaaaagtatccatcttggtccaatgtacaaatccgcaatcatctaaagaatacggcaacgagcttaggagacacgtggttgtatggaagcggacttgtcaatgcagaagcggcaacacgctaa</w:t>
      </w:r>
    </w:p>
    <w:p w14:paraId="047C768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4</w:t>
      </w:r>
    </w:p>
    <w:p w14:paraId="7419066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优选的碱性蛋白酶突变体的氨基酸序列</w:t>
      </w:r>
    </w:p>
    <w:p w14:paraId="30170F7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MKKPLGKIVASTALLISVAFSSSIASAAEEAKEKYLIGFNEQEAVSEFVEQVEANDEVAILSEEEEVEIELLHEFETIPVLSVELSPEDVDALELDPAISYIEEDAEVTTMAQSVPWGISRVQAPAAHNRGLTGSGVKVAVLDTGISVHPDLNIRGGASFVPGEPSYQDGNGHGTHVAGTIAALDNSIGVLGVAPSAELYAVKVLGASGSGSVSSIAQGLEWALNNGMHVANLSLGSPSPSATLEQAVNSATSRGVLVVAASGNSGAGSISYPARYANVMAVGAVDQNNNRASFSQYGAGLDIVAPGVNVQSTYPGSTYASLNGTSMATPHVAGAAALVKQKYPSWSNVQIRNHLKNTATSLGDTWLYGSGLVNAEAATR</w:t>
      </w:r>
    </w:p>
    <w:p w14:paraId="356889E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5</w:t>
      </w:r>
    </w:p>
    <w:p w14:paraId="33BBB7D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合成的启动子序列</w:t>
      </w:r>
    </w:p>
    <w:p w14:paraId="40F45C1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ggctgaagaagtggatcgattgtttgagaaaagaagaagaccataaaaataccttgtctgtcatcagacagggtattttttatgctgtccagactgtccgctgtgtaaaaaataggaataaaggggggttgacattattttactgatatgtataatataatttgtataagaaaatgagagctctcgaaacgtaagatgaaaccttagataaaagtgctttttttgttgcaattgaagaattattaatgttaagcttaattaaagataatatctttgaattgtaacgcccctcaaaagtaagaactacaaaaaaagaatacgttatatagaaatatgtttgaaccttcttcagattacaaatatattcggacggactctacctcaaatgcttatctaactatagaatgacatacaagcacaaccttgaaaatttgaaaatataactaccaatgaacttgttcatgtgaattatcgctgtatttaattttctcaattcaatatataatatgccaatacattgttacaagtagaaattaagacacccttgatagccttactatacctaacatgatgtagtattaaatgaatatgtaaatatatttatgataagaagcgacttatttataatcattacatatttttctattggaatgattaagattccaatagaatagtgtataaattatttatcttgaaaggagggatgcctaaaaacgaagaacattaaaaacatatatttgcaccgtctaatggatttatgaaaaatcattttatcagtttgaaaattatgtattatgat</w:t>
      </w:r>
    </w:p>
    <w:p w14:paraId="1C98241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6</w:t>
      </w:r>
    </w:p>
    <w:p w14:paraId="7738905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合成的终止序列</w:t>
      </w:r>
    </w:p>
    <w:p w14:paraId="1BC4BBE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cgccaaaaaagctgtcctcccctcgttggggtcggacagctttttttatgcgatggaatggctgtcagccgattcgagatctacgcgaacattccg</w:t>
      </w:r>
    </w:p>
    <w:p w14:paraId="20E24B0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7</w:t>
      </w:r>
    </w:p>
    <w:p w14:paraId="68AE54B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天然信号序列</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Atgaagaaaccgttggggaaaattgtcgcaagcaccgcactactcatttctgttgcttttagttcatcgatcgcatcggct</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2D52E5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本发明中，蛋白酶指的是能够水解蛋白或多肽的酶。例如，碱性蛋白酶能够分解衣物上的血渍或食物残渍等蛋白类污渍。</w:t>
      </w:r>
    </w:p>
    <w:p w14:paraId="222578E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本发明中，原始的碱性蛋白酶是指天然的碱性蛋白酶。天然的碱性蛋白酶是细菌碱性蛋白酶，来源包括但不局限于Bacillus subtilis ,Bacillus licheniformis Bacillus pseudalcalophilus和Bacillus lentus。</w:t>
      </w:r>
    </w:p>
    <w:p w14:paraId="064AE24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根据本发明的优选实施例，天然碱性蛋白酶是来源于芽孢杆菌菌株----尤其是Bacillus lentus。 Bacillus lentus碱性蛋白酶的全长编码序列见SEQ ID NO .1；对应的氨基酸序列见SEQ ID NO .2。</w:t>
      </w:r>
    </w:p>
    <w:p w14:paraId="18D033C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术语“碱性蛋白酶突变体”是指非天然存在的，在原始的碱性蛋白酶氨基酸序列的有效点位进行一个或数个氨基酸残基的增加、删除和/或替代，同时仍然保持了原始水解蛋白或多肽能力的碱性蛋白酶。</w:t>
      </w:r>
    </w:p>
    <w:p w14:paraId="0347094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涉及将原始碱性蛋白酶做序列改造获得的“碱性蛋白酶突变体”。原始碱性蛋白酶是天然的碱性蛋白酶，特别来源于细菌的天然碱性蛋白酶。根据本发明的实施例，碱性蛋白酶突变体是将原始的碱性蛋白酶的氨基酸序列的有效点位进行一个或数个氨基酸点位的突变而来。</w:t>
      </w:r>
    </w:p>
    <w:p w14:paraId="65EC5CBF">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本发明包括一系列的碱性蛋白酶突变体。根据本发明的实施例，这一系列的碱性蛋白酶突变体的氨基酸序列的同源性至少达到95％，分别达到95％，96％，97％，98％，99％或者100％。</w:t>
      </w:r>
    </w:p>
    <w:p w14:paraId="7178841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作为说明性和非限制性的本发明示例，所述的碱性蛋白酶突变体通过Bacillus lentus碱性蛋白酶原始序列进行至少一个氨基酸突变而获得，最优选的突变体其氨基酸序列如序列见SEQ ID NO .4。</w:t>
      </w:r>
    </w:p>
    <w:p w14:paraId="1206A29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本发明中的碱性蛋白酶突变体保持了水解蛋白或多肽的能力。另外，这些碱性蛋白酶的性能使用上符合工业生产要求，比如，在高温和/或高pH条件下催化活性稳定。</w:t>
      </w:r>
    </w:p>
    <w:p w14:paraId="50C9721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本发明提供了一种碱性蛋白酶突变体能够在适合工业化生产的温度和pH条件下水解蛋白或多肽中的肽键。根据本发明，所述的高温优选65℃；所述的高pH优选pH值为11～11.5，可适用于饲料和洗涤行业。</w:t>
      </w:r>
    </w:p>
    <w:p w14:paraId="5BE3654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另一方面，本发明中的表达载体包含一个合成的编码碱性蛋白酶突变体的核苷酸序列，而重组宿主细胞包含了上述表达载体。表达载体含有一个合成的编码不同碱性蛋白酶突变体的核苷酸序列。表达载体能够整合至宿主细胞的基因组上。例如，表达载体含有合成的核苷酸序列SEQ ID NO .3。</w:t>
      </w:r>
    </w:p>
    <w:p w14:paraId="57379E3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的表达载体优选包括一个天然或者合成的启动子序列，一个天然或合成的核糖体结合位点，一个天然或合成的终止子序列。这些遗传原件与合成的碱性蛋白酶突变体编码序列一同组成了一个表达组件，表达组件与载体骨架构成了表达载体。例如，表达载体包括一个表达组件，而表达组件包括以下的元件：一个启动子序列，一个合成的核糖体结合位点，一个合成的编码本发明中碱性蛋白酶突变体的核苷酸序列和一个终止子序列。信号序列能够</w:t>
      </w:r>
    </w:p>
    <w:p w14:paraId="32CB3F3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指导碱性蛋白酶突变体的分泌，将信号序列引入表达载体或者表达组件，尤其是将信号序列引入起始密码子的上游更有利于碱性蛋白酶突变体的分泌。</w:t>
      </w:r>
    </w:p>
    <w:p w14:paraId="2C5D7ACF">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根据本发明优选实施例，表达载体适宜在细菌中表达，尤其是Bacillus菌株,更适宜在B .licheniformis中表达。在特别优选实施例中，表达载体能够整合到Bacillus的基因组上，尤其是B .licheniformis的基因组上。可用于整合到染色体中的多核苷酸序列的宿主细胞的表达载体，以及这种表达载体的构建方法，是当代生物学领域众所周知的一个普通技能。</w:t>
      </w:r>
    </w:p>
    <w:p w14:paraId="2C29214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实施例，重组宿主细胞可以基因工程改造包含一个或多个碱性蛋白酶突变体基因表达的核酸序列。任何技术均可用于基因工程改造宿主细胞包含一个或多个本发明中的碱性蛋白酶突变体编码合成的核酸序列，例如，染色体整合。含有温度敏感起源和抗性筛选标记的载体可以用于整合步骤。这些载体通过坎贝尔机制与基因组的特定区域整合，通过抗性筛选得到重组菌，重组菌在随后的培养过程中通过同源重组去掉抗性筛选标记。</w:t>
      </w:r>
    </w:p>
    <w:p w14:paraId="580731B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实施例，重组宿主细胞经过基因工程改造失活了一些内源性蛋白。能被失活的内源性包括但不限于胞外的蛋白酶。重组的宿主细胞转化含有碱性蛋白酶突变体表达基因的核酸序列之前或者之后要失活一些内源性蛋白。更适宜的方法是，在转入碱性蛋白酶突变体表达基因的载体之前进行宿主菌外源分泌蛋白酶的失活。</w:t>
      </w:r>
    </w:p>
    <w:p w14:paraId="155A284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首先，Bacillus licheniformis经过改造已经失活了一些外源性蛋白酶基因。特别是Bacillus licheniformis菌株可以失活一些胞外蛋白酶，例如subtilisin(AprE)，glutamic acid specific protease(Blase)。这些基因工程改造使得B .licheniformis菌株更适宜碱性蛋白酶突变体的表达和分泌。</w:t>
      </w:r>
    </w:p>
    <w:p w14:paraId="4796157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提供了一种碱性蛋白酶突变体的生产方法。根据本发明的实施例，该方法包括在适宜碱性蛋白酶突变体表达的条件下对含有编码碱性蛋白酶突变体核苷酸序列的重组宿主细胞进行培养，并从重组宿主细胞或者其上清液中获得碱性蛋白酶突变体。</w:t>
      </w:r>
    </w:p>
    <w:p w14:paraId="1178A08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的所有重组宿主细胞都能够生产碱性蛋白酶突变体。重组宿主细胞包含了至少一个拷贝的编码碱性蛋白酶突变体的核苷酸序列。这些编码碱性蛋白酶突变体的核苷酸序列能够在适宜的条件下表达碱性蛋白酶突变体。从重组宿主细胞中分泌的碱性蛋白酶突变体能够从重组细胞或上清液中收集到。收集的方法包括但不仅限于过滤，离心等。</w:t>
      </w:r>
    </w:p>
    <w:p w14:paraId="59C6A66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根据本发明的实施例，通过发酵经过基因工程改造Bacillus licheniformis能够高产碱性蛋白酶突变体。Bacillus licheniformis通过基因工程改造导入了编码碱性蛋白酶突变体的核苷酸序列。更好的是，本发明中的Bacillus licheniformis已经去掉了抗性筛选基因，对环境无害并且生产的碱性蛋白酶突变体更适合用于食品饲料工业。</w:t>
      </w:r>
    </w:p>
    <w:p w14:paraId="23D666B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本发明中下列的例子进一步阐述了本发明的本质。应当理解，下面的例子不限制本发明，本发明的范围是由所附的权利要求确定</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宋体" w:cs="宋体" w:eastAsiaTheme="majorEastAsia"/>
          <w:color w:val="000000" w:themeColor="text1"/>
          <w:kern w:val="0"/>
          <w:sz w:val="24"/>
          <w:szCs w:val="24"/>
          <w14:textFill>
            <w14:solidFill>
              <w14:schemeClr w14:val="tx1"/>
            </w14:solidFill>
          </w14:textFill>
        </w:rPr>
        <w:drawing>
          <wp:inline distT="0" distB="0" distL="0" distR="0">
            <wp:extent cx="3829050" cy="3436620"/>
            <wp:effectExtent l="0" t="0" r="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l="24565" r="23776"/>
                    <a:stretch>
                      <a:fillRect/>
                    </a:stretch>
                  </pic:blipFill>
                  <pic:spPr>
                    <a:xfrm>
                      <a:off x="0" y="0"/>
                      <a:ext cx="3836805" cy="3444180"/>
                    </a:xfrm>
                    <a:prstGeom prst="rect">
                      <a:avLst/>
                    </a:prstGeom>
                    <a:noFill/>
                    <a:ln>
                      <a:noFill/>
                    </a:ln>
                  </pic:spPr>
                </pic:pic>
              </a:graphicData>
            </a:graphic>
          </wp:inline>
        </w:drawing>
      </w:r>
    </w:p>
    <w:p w14:paraId="570660F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4C71CD8B">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宋体" w:cs="宋体" w:eastAsiaTheme="majorEastAsia"/>
          <w:color w:val="000000" w:themeColor="text1"/>
          <w:kern w:val="0"/>
          <w:sz w:val="24"/>
          <w:szCs w:val="24"/>
          <w14:textFill>
            <w14:solidFill>
              <w14:schemeClr w14:val="tx1"/>
            </w14:solidFill>
          </w14:textFill>
        </w:rPr>
        <w:drawing>
          <wp:inline distT="0" distB="0" distL="0" distR="0">
            <wp:extent cx="2476500" cy="2445385"/>
            <wp:effectExtent l="0" t="0" r="0"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l="26552" r="26485"/>
                    <a:stretch>
                      <a:fillRect/>
                    </a:stretch>
                  </pic:blipFill>
                  <pic:spPr>
                    <a:xfrm>
                      <a:off x="0" y="0"/>
                      <a:ext cx="2476972" cy="2445851"/>
                    </a:xfrm>
                    <a:prstGeom prst="rect">
                      <a:avLst/>
                    </a:prstGeom>
                    <a:noFill/>
                    <a:ln>
                      <a:noFill/>
                    </a:ln>
                  </pic:spPr>
                </pic:pic>
              </a:graphicData>
            </a:graphic>
          </wp:inline>
        </w:drawing>
      </w:r>
    </w:p>
    <w:p w14:paraId="68A3DF2C">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p w14:paraId="6B2552FD">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0" distR="0">
            <wp:extent cx="5274310" cy="2682240"/>
            <wp:effectExtent l="4445" t="4445" r="17145" b="1841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BD83D1">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w:t>
      </w:r>
    </w:p>
    <w:p w14:paraId="6777BFAF">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4445" t="4445" r="14605" b="1460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图4</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0D3B246C"/>
    <w:rsid w:val="113F222E"/>
    <w:rsid w:val="11511F61"/>
    <w:rsid w:val="186574ED"/>
    <w:rsid w:val="18B947A4"/>
    <w:rsid w:val="1D5C7CC4"/>
    <w:rsid w:val="1DB267EB"/>
    <w:rsid w:val="1DB90C77"/>
    <w:rsid w:val="1E05055E"/>
    <w:rsid w:val="205E28E6"/>
    <w:rsid w:val="2296767D"/>
    <w:rsid w:val="229D3A06"/>
    <w:rsid w:val="27BC5F2F"/>
    <w:rsid w:val="294A30C6"/>
    <w:rsid w:val="31FC517A"/>
    <w:rsid w:val="32EB1476"/>
    <w:rsid w:val="336916AC"/>
    <w:rsid w:val="36C724BE"/>
    <w:rsid w:val="36EB0824"/>
    <w:rsid w:val="3A4E007E"/>
    <w:rsid w:val="3E784FAE"/>
    <w:rsid w:val="3ECD2378"/>
    <w:rsid w:val="3F850EA5"/>
    <w:rsid w:val="3FE200A5"/>
    <w:rsid w:val="40D212A9"/>
    <w:rsid w:val="41BD0482"/>
    <w:rsid w:val="44F52628"/>
    <w:rsid w:val="46D83FB0"/>
    <w:rsid w:val="4E1D7948"/>
    <w:rsid w:val="4F072630"/>
    <w:rsid w:val="510D659C"/>
    <w:rsid w:val="57465839"/>
    <w:rsid w:val="57DA1989"/>
    <w:rsid w:val="5B0A1C15"/>
    <w:rsid w:val="5BBA5BB5"/>
    <w:rsid w:val="5D2C7D43"/>
    <w:rsid w:val="63AB4186"/>
    <w:rsid w:val="68DE6C8A"/>
    <w:rsid w:val="6C6E11E8"/>
    <w:rsid w:val="6CDE045D"/>
    <w:rsid w:val="6E1B4932"/>
    <w:rsid w:val="70485431"/>
    <w:rsid w:val="70871AD7"/>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2.emf"/><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Administrator.USER-20191020FF\Desktop\&#32445;&#30000;&#19987;&#21033;\&#19987;&#21033;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USER-20191020FF\Desktop\&#32445;&#30000;&#19987;&#21033;\&#19987;&#2103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r>
              <a:rPr lang="zh-CN" altLang="en-US" b="1"/>
              <a:t>温度反应曲线对比</a:t>
            </a:r>
            <a:endParaRPr lang="zh-CN" altLang="en-US" b="1"/>
          </a:p>
        </c:rich>
      </c:tx>
      <c:layout/>
      <c:overlay val="0"/>
      <c:spPr>
        <a:noFill/>
        <a:ln>
          <a:noFill/>
        </a:ln>
        <a:effectLst/>
      </c:spPr>
    </c:title>
    <c:autoTitleDeleted val="0"/>
    <c:plotArea>
      <c:layout/>
      <c:scatterChart>
        <c:scatterStyle val="smoothMarker"/>
        <c:varyColors val="0"/>
        <c:ser>
          <c:idx val="0"/>
          <c:order val="0"/>
          <c:tx>
            <c:strRef>
              <c:f>突变体SEQ 4</c:f>
              <c:strCache>
                <c:ptCount val="1"/>
                <c:pt idx="0">
                  <c:v>突变体SEQ 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Sheet1!$A$1:$A$9</c:f>
              <c:numCache>
                <c:formatCode>General</c:formatCode>
                <c:ptCount val="9"/>
                <c:pt idx="0">
                  <c:v>30</c:v>
                </c:pt>
                <c:pt idx="1">
                  <c:v>35</c:v>
                </c:pt>
                <c:pt idx="2">
                  <c:v>40</c:v>
                </c:pt>
                <c:pt idx="3">
                  <c:v>45</c:v>
                </c:pt>
                <c:pt idx="4">
                  <c:v>50</c:v>
                </c:pt>
                <c:pt idx="5">
                  <c:v>55</c:v>
                </c:pt>
                <c:pt idx="6">
                  <c:v>60</c:v>
                </c:pt>
                <c:pt idx="7">
                  <c:v>65</c:v>
                </c:pt>
                <c:pt idx="8">
                  <c:v>70</c:v>
                </c:pt>
              </c:numCache>
            </c:numRef>
          </c:xVal>
          <c:yVal>
            <c:numRef>
              <c:f>Sheet1!$B$1:$B$9</c:f>
              <c:numCache>
                <c:formatCode>General</c:formatCode>
                <c:ptCount val="9"/>
                <c:pt idx="0">
                  <c:v>19</c:v>
                </c:pt>
                <c:pt idx="1">
                  <c:v>22</c:v>
                </c:pt>
                <c:pt idx="2">
                  <c:v>32</c:v>
                </c:pt>
                <c:pt idx="3">
                  <c:v>43</c:v>
                </c:pt>
                <c:pt idx="4">
                  <c:v>57</c:v>
                </c:pt>
                <c:pt idx="5">
                  <c:v>78</c:v>
                </c:pt>
                <c:pt idx="6">
                  <c:v>90</c:v>
                </c:pt>
                <c:pt idx="7">
                  <c:v>101</c:v>
                </c:pt>
                <c:pt idx="8">
                  <c:v>70</c:v>
                </c:pt>
              </c:numCache>
            </c:numRef>
          </c:yVal>
          <c:smooth val="1"/>
        </c:ser>
        <c:dLbls>
          <c:showLegendKey val="0"/>
          <c:showVal val="0"/>
          <c:showCatName val="0"/>
          <c:showSerName val="0"/>
          <c:showPercent val="0"/>
          <c:showBubbleSize val="0"/>
        </c:dLbls>
        <c:axId val="662581584"/>
        <c:axId val="651222272"/>
      </c:scatterChart>
      <c:scatterChart>
        <c:scatterStyle val="smoothMarker"/>
        <c:varyColors val="0"/>
        <c:ser>
          <c:idx val="1"/>
          <c:order val="1"/>
          <c:tx>
            <c:strRef>
              <c:f>原始序列 SEQ 2</c:f>
              <c:strCache>
                <c:ptCount val="1"/>
                <c:pt idx="0">
                  <c:v>原始序列 SEQ 2</c:v>
                </c:pt>
              </c:strCache>
            </c:strRef>
          </c:tx>
          <c:spPr>
            <a:ln w="19050" cap="rnd">
              <a:solidFill>
                <a:schemeClr val="accent2"/>
              </a:solidFill>
              <a:round/>
            </a:ln>
            <a:effectLst/>
          </c:spPr>
          <c:marker>
            <c:symbol val="circle"/>
            <c:size val="5"/>
            <c:spPr>
              <a:solidFill>
                <a:schemeClr val="accent2"/>
              </a:solidFill>
              <a:ln w="9525">
                <a:solidFill>
                  <a:sysClr val="windowText" lastClr="000000"/>
                </a:solidFill>
              </a:ln>
              <a:effectLst/>
            </c:spPr>
          </c:marker>
          <c:dLbls>
            <c:delete val="1"/>
          </c:dLbls>
          <c:xVal>
            <c:numRef>
              <c:f>Sheet1!$A$1:$A$9</c:f>
              <c:numCache>
                <c:formatCode>General</c:formatCode>
                <c:ptCount val="9"/>
                <c:pt idx="0">
                  <c:v>30</c:v>
                </c:pt>
                <c:pt idx="1">
                  <c:v>35</c:v>
                </c:pt>
                <c:pt idx="2">
                  <c:v>40</c:v>
                </c:pt>
                <c:pt idx="3">
                  <c:v>45</c:v>
                </c:pt>
                <c:pt idx="4">
                  <c:v>50</c:v>
                </c:pt>
                <c:pt idx="5">
                  <c:v>55</c:v>
                </c:pt>
                <c:pt idx="6">
                  <c:v>60</c:v>
                </c:pt>
                <c:pt idx="7">
                  <c:v>65</c:v>
                </c:pt>
                <c:pt idx="8">
                  <c:v>70</c:v>
                </c:pt>
              </c:numCache>
            </c:numRef>
          </c:xVal>
          <c:yVal>
            <c:numRef>
              <c:f>Sheet1!$C$1:$C$9</c:f>
              <c:numCache>
                <c:formatCode>General</c:formatCode>
                <c:ptCount val="9"/>
                <c:pt idx="0">
                  <c:v>21</c:v>
                </c:pt>
                <c:pt idx="1">
                  <c:v>37</c:v>
                </c:pt>
                <c:pt idx="2">
                  <c:v>60</c:v>
                </c:pt>
                <c:pt idx="3">
                  <c:v>71</c:v>
                </c:pt>
                <c:pt idx="4">
                  <c:v>85</c:v>
                </c:pt>
                <c:pt idx="5">
                  <c:v>97</c:v>
                </c:pt>
                <c:pt idx="6">
                  <c:v>52</c:v>
                </c:pt>
                <c:pt idx="7">
                  <c:v>28</c:v>
                </c:pt>
                <c:pt idx="8">
                  <c:v>14</c:v>
                </c:pt>
              </c:numCache>
            </c:numRef>
          </c:yVal>
          <c:smooth val="1"/>
        </c:ser>
        <c:dLbls>
          <c:showLegendKey val="0"/>
          <c:showVal val="0"/>
          <c:showCatName val="0"/>
          <c:showSerName val="0"/>
          <c:showPercent val="0"/>
          <c:showBubbleSize val="0"/>
        </c:dLbls>
        <c:axId val="651223840"/>
        <c:axId val="651222664"/>
      </c:scatterChart>
      <c:valAx>
        <c:axId val="662581584"/>
        <c:scaling>
          <c:orientation val="minMax"/>
          <c:max val="70"/>
          <c:min val="3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r>
                  <a:rPr lang="zh-CN" altLang="en-US" sz="1000" b="1"/>
                  <a:t>温度</a:t>
                </a:r>
                <a:r>
                  <a:rPr lang="en-US" altLang="zh-CN" sz="1000" b="1"/>
                  <a:t>/C〫</a:t>
                </a:r>
                <a:endParaRPr lang="zh-CN" altLang="en-US" sz="1000" b="1"/>
              </a:p>
            </c:rich>
          </c:tx>
          <c:layout/>
          <c:overlay val="0"/>
          <c:spPr>
            <a:noFill/>
            <a:ln w="12700">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222272"/>
        <c:crossesAt val="0"/>
        <c:crossBetween val="midCat"/>
      </c:valAx>
      <c:valAx>
        <c:axId val="651222272"/>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5400000" spcFirstLastPara="1" vertOverflow="ellipsis" vert="horz" wrap="square" anchor="ctr" anchorCtr="1"/>
              <a:lstStyle/>
              <a:p>
                <a:pPr>
                  <a:defRPr lang="zh-CN" sz="1000" b="1" i="0" u="none" strike="noStrike" kern="1200" baseline="0">
                    <a:solidFill>
                      <a:schemeClr val="dk1"/>
                    </a:solidFill>
                    <a:latin typeface="+mn-lt"/>
                    <a:ea typeface="+mn-ea"/>
                    <a:cs typeface="+mn-cs"/>
                  </a:defRPr>
                </a:pPr>
                <a:r>
                  <a:rPr lang="zh-CN" altLang="en-US" sz="1000" b="1">
                    <a:solidFill>
                      <a:schemeClr val="dk1"/>
                    </a:solidFill>
                    <a:latin typeface="+mn-lt"/>
                    <a:ea typeface="+mn-ea"/>
                    <a:cs typeface="+mn-cs"/>
                  </a:rPr>
                  <a:t>相对酶活白分比</a:t>
                </a:r>
                <a:endParaRPr lang="zh-CN" altLang="en-US" sz="1000" b="1"/>
              </a:p>
            </c:rich>
          </c:tx>
          <c:layout/>
          <c:overlay val="0"/>
          <c:spPr>
            <a:solidFill>
              <a:schemeClr val="bg1"/>
            </a:solidFill>
            <a:ln w="28575" cap="flat" cmpd="sng" algn="ctr">
              <a:noFill/>
              <a:prstDash val="solid"/>
              <a:miter lim="800000"/>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581584"/>
        <c:crosses val="autoZero"/>
        <c:crossBetween val="midCat"/>
      </c:valAx>
      <c:valAx>
        <c:axId val="65122384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222664"/>
        <c:crosses val="autoZero"/>
        <c:crossBetween val="midCat"/>
      </c:valAx>
      <c:valAx>
        <c:axId val="651222664"/>
        <c:scaling>
          <c:orientation val="minMax"/>
        </c:scaling>
        <c:delete val="1"/>
        <c:axPos val="r"/>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1223840"/>
        <c:crosses val="max"/>
        <c:crossBetween val="midCat"/>
      </c:valAx>
      <c:spPr>
        <a:noFill/>
        <a:ln>
          <a:noFill/>
        </a:ln>
        <a:effectLst/>
      </c:spPr>
    </c:plotArea>
    <c:legend>
      <c:legendPos val="b"/>
      <c:legendEntry>
        <c:idx val="1"/>
        <c:txPr>
          <a:bodyPr rot="0" spcFirstLastPara="1"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229535996177699"/>
          <c:y val="0.890624627177285"/>
          <c:w val="0.601355627560762"/>
          <c:h val="0.0569624391408191"/>
        </c:manualLayout>
      </c:layout>
      <c:overlay val="0"/>
      <c:spPr>
        <a:noFill/>
        <a:ln>
          <a:noFill/>
        </a:ln>
        <a:effectLst/>
      </c:spPr>
      <c:txPr>
        <a:bodyPr rot="0" spcFirstLastPara="1"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9098c7c-995a-4a3d-a546-afe3aaa080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r>
              <a:rPr lang="en-US" altLang="zh-CN" b="1"/>
              <a:t>pH</a:t>
            </a:r>
            <a:r>
              <a:rPr lang="zh-CN" altLang="en-US" b="1"/>
              <a:t>反应曲线对比</a:t>
            </a:r>
            <a:endParaRPr lang="zh-CN" altLang="en-US" b="1"/>
          </a:p>
        </c:rich>
      </c:tx>
      <c:layout/>
      <c:overlay val="0"/>
      <c:spPr>
        <a:noFill/>
        <a:ln>
          <a:noFill/>
        </a:ln>
        <a:effectLst/>
      </c:spPr>
    </c:title>
    <c:autoTitleDeleted val="0"/>
    <c:plotArea>
      <c:layout/>
      <c:scatterChart>
        <c:scatterStyle val="smoothMarker"/>
        <c:varyColors val="0"/>
        <c:ser>
          <c:idx val="0"/>
          <c:order val="0"/>
          <c:tx>
            <c:strRef>
              <c:f>突变体SEQ 4</c:f>
              <c:strCache>
                <c:ptCount val="1"/>
                <c:pt idx="0">
                  <c:v>突变体SEQ 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Sheet2!$A$1:$A$9</c:f>
              <c:numCache>
                <c:formatCode>General</c:formatCode>
                <c:ptCount val="9"/>
                <c:pt idx="0">
                  <c:v>6</c:v>
                </c:pt>
                <c:pt idx="1">
                  <c:v>7</c:v>
                </c:pt>
                <c:pt idx="2">
                  <c:v>8</c:v>
                </c:pt>
                <c:pt idx="3">
                  <c:v>9</c:v>
                </c:pt>
                <c:pt idx="4">
                  <c:v>10</c:v>
                </c:pt>
                <c:pt idx="5">
                  <c:v>10.5</c:v>
                </c:pt>
                <c:pt idx="6">
                  <c:v>11</c:v>
                </c:pt>
                <c:pt idx="7">
                  <c:v>11.5</c:v>
                </c:pt>
                <c:pt idx="8">
                  <c:v>12</c:v>
                </c:pt>
              </c:numCache>
            </c:numRef>
          </c:xVal>
          <c:yVal>
            <c:numRef>
              <c:f>Sheet2!$B$1:$B$9</c:f>
              <c:numCache>
                <c:formatCode>General</c:formatCode>
                <c:ptCount val="9"/>
                <c:pt idx="0">
                  <c:v>10</c:v>
                </c:pt>
                <c:pt idx="1">
                  <c:v>22</c:v>
                </c:pt>
                <c:pt idx="2">
                  <c:v>50</c:v>
                </c:pt>
                <c:pt idx="3">
                  <c:v>66</c:v>
                </c:pt>
                <c:pt idx="4">
                  <c:v>90</c:v>
                </c:pt>
                <c:pt idx="5">
                  <c:v>95</c:v>
                </c:pt>
                <c:pt idx="6">
                  <c:v>98</c:v>
                </c:pt>
                <c:pt idx="7">
                  <c:v>101</c:v>
                </c:pt>
                <c:pt idx="8">
                  <c:v>96</c:v>
                </c:pt>
              </c:numCache>
            </c:numRef>
          </c:yVal>
          <c:smooth val="1"/>
        </c:ser>
        <c:ser>
          <c:idx val="1"/>
          <c:order val="1"/>
          <c:tx>
            <c:strRef>
              <c:f>原始序列SEQ 2</c:f>
              <c:strCache>
                <c:ptCount val="1"/>
                <c:pt idx="0">
                  <c:v>原始序列SEQ 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Sheet2!$A$1:$A$9</c:f>
              <c:numCache>
                <c:formatCode>General</c:formatCode>
                <c:ptCount val="9"/>
                <c:pt idx="0">
                  <c:v>6</c:v>
                </c:pt>
                <c:pt idx="1">
                  <c:v>7</c:v>
                </c:pt>
                <c:pt idx="2">
                  <c:v>8</c:v>
                </c:pt>
                <c:pt idx="3">
                  <c:v>9</c:v>
                </c:pt>
                <c:pt idx="4">
                  <c:v>10</c:v>
                </c:pt>
                <c:pt idx="5">
                  <c:v>10.5</c:v>
                </c:pt>
                <c:pt idx="6">
                  <c:v>11</c:v>
                </c:pt>
                <c:pt idx="7">
                  <c:v>11.5</c:v>
                </c:pt>
                <c:pt idx="8">
                  <c:v>12</c:v>
                </c:pt>
              </c:numCache>
            </c:numRef>
          </c:xVal>
          <c:yVal>
            <c:numRef>
              <c:f>Sheet2!$C$1:$C$9</c:f>
              <c:numCache>
                <c:formatCode>General</c:formatCode>
                <c:ptCount val="9"/>
                <c:pt idx="0">
                  <c:v>13</c:v>
                </c:pt>
                <c:pt idx="1">
                  <c:v>42</c:v>
                </c:pt>
                <c:pt idx="2">
                  <c:v>85</c:v>
                </c:pt>
                <c:pt idx="3">
                  <c:v>96</c:v>
                </c:pt>
                <c:pt idx="4">
                  <c:v>100</c:v>
                </c:pt>
                <c:pt idx="5">
                  <c:v>94</c:v>
                </c:pt>
                <c:pt idx="6">
                  <c:v>87</c:v>
                </c:pt>
                <c:pt idx="7">
                  <c:v>81</c:v>
                </c:pt>
                <c:pt idx="8">
                  <c:v>76</c:v>
                </c:pt>
              </c:numCache>
            </c:numRef>
          </c:yVal>
          <c:smooth val="1"/>
        </c:ser>
        <c:dLbls>
          <c:showLegendKey val="0"/>
          <c:showVal val="0"/>
          <c:showCatName val="0"/>
          <c:showSerName val="0"/>
          <c:showPercent val="0"/>
          <c:showBubbleSize val="0"/>
        </c:dLbls>
        <c:axId val="662716224"/>
        <c:axId val="662715832"/>
      </c:scatterChart>
      <c:valAx>
        <c:axId val="662716224"/>
        <c:scaling>
          <c:orientation val="minMax"/>
          <c:max val="12"/>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r>
                  <a:rPr lang="en-US" altLang="zh-CN" b="1"/>
                  <a:t>pH</a:t>
                </a:r>
                <a:endParaRPr lang="zh-CN" alt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715832"/>
        <c:crosses val="autoZero"/>
        <c:crossBetween val="midCat"/>
      </c:valAx>
      <c:valAx>
        <c:axId val="662715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r>
                  <a:rPr lang="zh-CN" altLang="en-US" b="1"/>
                  <a:t>相对酶活百分比</a:t>
                </a:r>
                <a:endParaRPr lang="en-US" altLang="zh-CN"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716224"/>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bac90d9-6b49-40a2-80a3-900f6dd721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0.37292</cdr:x>
      <cdr:y>0.75696</cdr:y>
    </cdr:from>
    <cdr:to>
      <cdr:x>0.57292</cdr:x>
      <cdr:y>1</cdr:y>
    </cdr:to>
    <cdr:sp>
      <cdr:nvSpPr>
        <cdr:cNvPr id="2" name="矩形 1"/>
        <cdr:cNvSpPr/>
      </cdr:nvSpPr>
      <cdr:spPr xmlns:a="http://schemas.openxmlformats.org/drawingml/2006/main">
        <a:xfrm xmlns:a="http://schemas.openxmlformats.org/drawingml/2006/main">
          <a:off x="1704975" y="2847974"/>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21</Pages>
  <Words>1330</Words>
  <Characters>1388</Characters>
  <Lines>34</Lines>
  <Paragraphs>9</Paragraphs>
  <TotalTime>0</TotalTime>
  <ScaleCrop>false</ScaleCrop>
  <LinksUpToDate>false</LinksUpToDate>
  <CharactersWithSpaces>1388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2025-04-30T08:34:45Z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