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AFDE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医疗器械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技术领域，具体为一种基于酶电极生物传感器即时血糖自动检测设备，包括血糖仪主体，所述血糖仪主体的内部安装有样本架，所述血糖仪主体的内部安装有升降机构，所述升降机构上安装有取样针，本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检测设备基于酶电极生物传感器，检测方法准确可靠，测量范围为葡萄糖0.5–50mmol/L(9–900mg/dL)，重复性和准确度高，能够满足临床检测需求，设备实现了自动化检测流程，操作简单便捷，减少了人为操作误差，提高了检测效率，适合医疗机构和家庭使用，具备完善的安全保护机制和维护体系，保障了设备的安全运行和长期稳定性，降低了使用风险，操作界面友好，功能丰富，方便用户进行检测操作、数据管理和设备设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897E3B0">
      <w:pPr>
        <w:ind w:firstLine="56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</w:p>
    <w:p w14:paraId="0FB80B99">
      <w:pPr>
        <w:jc w:val="both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1875" cy="4763770"/>
            <wp:effectExtent l="0" t="0" r="3175" b="17780"/>
            <wp:docPr id="2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476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40D10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一种基于酶电极生物传感器即时血糖自动检测设备，其特征在于：包括血糖仪主体（1），所述血糖仪主体（1）的内部安装有样本架（2），所述血糖仪主体（1）的内部安装有升降机构（3），所述升降机构（3）上安装有取样针（4），所述取样针（4）的下方安装有冲洗阀（5），所述血糖仪主体（1）的内部安装有生物传感器（6），所述血糖仪主体（1）的内部位于所述生物传感器（6）的一侧安装有蠕动泵（7）。</w:t>
      </w:r>
    </w:p>
    <w:p w14:paraId="56AF851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2.根据权利要求1所述的一种基于酶电极生物传感器即时血糖自动检测设备，其特征在于：所述血糖仪主体（1）的内部分别安装有废液瓶（8）和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清洗液瓶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（9），所述蠕动泵（7）通过管路分别与所述废液瓶（8）和所述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清洗液瓶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（9）连通。</w:t>
      </w:r>
    </w:p>
    <w:p w14:paraId="71E8858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3.根据权利要求1所述的一种基于酶电极生物传感器即时血糖自动检测设备，其特征在于：所述血糖仪主体（1）的顶部安装有控制面板（10）。</w:t>
      </w:r>
    </w:p>
    <w:p w14:paraId="2F6753D0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所述的一种基于酶电极生物传感器即时血糖自动检测设备，其特征在于：所述血糖仪主体（1）的顶部位于所述控制面板（10）的一侧铰接有盖板（11）。</w:t>
      </w:r>
    </w:p>
    <w:p w14:paraId="5B3CBB3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5.根据权利要求1所述的一种基于酶电极生物传感器即时血糖自动检测设备，其特征在于：所述血糖仪主体（1）的前表面安装有灯带（12）。</w:t>
      </w:r>
    </w:p>
    <w:p w14:paraId="01EA4B6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6.根据权利要求1所述的一种基于酶电极生物传感器即时血糖自动检测设备，其特征在于：所述血糖仪主体（1）的后表面安装有接口（13）。</w:t>
      </w:r>
    </w:p>
    <w:p w14:paraId="285E366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30D70E68">
      <w:pPr>
        <w:spacing w:before="468" w:beforeLines="150" w:after="468" w:afterLines="150"/>
        <w:jc w:val="center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一种基于酶电极生物传感器即时血糖自动检测设备</w:t>
      </w:r>
    </w:p>
    <w:p w14:paraId="0B9DD468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技术领域</w:t>
      </w:r>
    </w:p>
    <w:p w14:paraId="589603C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医疗器械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一种基于酶电极生物传感器即时血糖自动检测设备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448803D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背景技术</w:t>
      </w:r>
    </w:p>
    <w:p w14:paraId="14AD88F2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目前，血糖检测对于糖尿病患者的病情监测和治疗至关重要。传统的血糖检测方法存在操作复杂、检测时间长、需要专业人员操作等问题，无法满足患者即时、便捷检测的需求。现有的一些即时检测设备在检测准确性、样本处理便利性、设备稳定性以及操作界面友好性等方面存在不足，难以实现高效、精准且易于操作的血糖自动检测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为此，提出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一种基于酶电极生物传感器即时血糖自动检测设备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D50894C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cs="楷体_GB2312"/>
          <w:color w:val="000000" w:themeColor="text1"/>
          <w:w w:val="100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内容</w:t>
      </w:r>
    </w:p>
    <w:p w14:paraId="67D7E0C2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有鉴于此，本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一种基于酶电极生物传感器即时血糖自动检测设备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，以解决或缓解现有技术中存在的技术问题，至少提供一种有益的选择。</w:t>
      </w:r>
    </w:p>
    <w:p w14:paraId="57200B4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技术方案是这样实现的：一种基于酶电极生物传感器即时血糖自动检测设备，包括血糖仪主体，所述血糖仪主体的内部安装有样本架，所述血糖仪主体的内部安装有升降机构，所述升降机构上安装有取样针，所述取样针的下方安装有冲洗阀，所述血糖仪主体的内部安装有生物传感器，所述血糖仪主体的内部位于所述生物传感器的一侧安装有蠕动泵。</w:t>
      </w:r>
    </w:p>
    <w:p w14:paraId="2574B67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所述血糖仪主体的内部分别安装有废液瓶和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清洗液瓶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，所述蠕动泵通过管路分别与所述废液瓶和所述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清洗液瓶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连通。</w:t>
      </w:r>
    </w:p>
    <w:p w14:paraId="33DDD52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所述血糖仪主体的顶部安装有控制面板。</w:t>
      </w:r>
    </w:p>
    <w:p w14:paraId="6B23452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所述血糖仪主体的顶部位于所述控制面板的一侧铰接有盖板。</w:t>
      </w:r>
    </w:p>
    <w:p w14:paraId="27CED17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所述血糖仪主体的前表面安装有灯带。</w:t>
      </w:r>
    </w:p>
    <w:p w14:paraId="79F8AC7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所述血糖仪主体的后表面安装有接口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CB2E3E8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实施例由于采用以上技术方案，其具有以下优点：</w:t>
      </w:r>
    </w:p>
    <w:p w14:paraId="52DAE122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检测设备基于酶电极生物传感器，检测方法准确可靠，测量范围为葡萄糖0.5–50mmol/L(9–900mg/dL)，重复性和准确度高，能够满足临床检测需求，设备实现了自动化检测流程，操作简单便捷，减少了人为操作误差，提高了检测效率，适合医疗机构和家庭使用，具备完善的安全保护机制和维护体系，保障了设备的安全运行和长期稳定性，降低了使用风险，操作界面友好，功能丰富，方便用户进行检测操作、数据管理和设备设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F09C79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上述概述仅仅是为了说明书的目的，并不意图以任何方式进行限制。除上述描述的示意性的方面、实施方式和特征之外，通过参考附图和以下的详细描述，本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进一步的方面、实施方式和特征将会是容易明白的。</w:t>
      </w:r>
    </w:p>
    <w:p w14:paraId="1B693656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附图说明</w:t>
      </w:r>
    </w:p>
    <w:p w14:paraId="6C7E5F0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为了更清楚地说明本申请实施例或现有技术中的技术方案，下面将对实施例或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6701D489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的结构图；</w:t>
      </w:r>
    </w:p>
    <w:p w14:paraId="5A06AB67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另一形态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结构图；</w:t>
      </w:r>
    </w:p>
    <w:p w14:paraId="0CFF2520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另一视角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结构图。</w:t>
      </w:r>
    </w:p>
    <w:p w14:paraId="4E77819A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附图标记：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1、血糖仪主体；2、样本架；3、升降机构；4、取样针；5、冲洗阀；6、生物传感器；7、蠕动泵；8、废液瓶；9、清洗液瓶；10、控制面板；11、盖板；12、灯带；13、接口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CC87556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具体实施方式</w:t>
      </w:r>
    </w:p>
    <w:p w14:paraId="5AE00371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在下文中，仅简单地描述了某些示例性实施例。正如本领域技术人员可认识到的那样，在不脱离本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的精神或范围的情况下，可通过各种不同方式修改所描述的实施例。因此，附图和描述被认为本质上是示例性的而非限制性的。</w:t>
      </w:r>
    </w:p>
    <w:p w14:paraId="423C7F86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下面结合附图对本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的实施例进行详细说明。</w:t>
      </w:r>
    </w:p>
    <w:p w14:paraId="6FAE982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如图1-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所示，本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施例提供了一种基于酶电极生物传感器即时血糖自动检测设备，包括血糖仪主体1，血糖仪主体1的内部安装有样本架2，血糖仪主体1的内部安装有升降机构3，升降机构3上安装有取样针4，取样针4的下方安装有冲洗阀5，血糖仪主体1的内部安装有生物传感器6，血糖仪主体1的内部位于生物传感器6的一侧安装有蠕动泵7。</w:t>
      </w:r>
    </w:p>
    <w:p w14:paraId="614F994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血糖仪主体1的内部分别安装有废液瓶8和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清洗液瓶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9，蠕动泵7通过管路分别与废液瓶8和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清洗液瓶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9连通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；通过挤压管路，为仪器管路系统提供液体流动动力，使清洗液、样本、废液等系统液到达指定位置，蠕动泵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泵管连接清洗液瓶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和废液瓶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，控制仪器的流体系统，抽取清洗液清洗仪器系统，并将废液输送到废液瓶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A68F09A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血糖仪主体1的顶部安装有控制面板10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控制面板10设置了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血糖仪主体1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日常操作流程的解释与说明并以彩色图片形式显示，避免由于操作者的更换而引起不会使用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血糖仪主体1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的情况，用于显示测试结果、更改质控液靶值，范围，制造商及批号信息并统计内部质控结果，并自动计算平均值，标准差，CV值，方差等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071E24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血糖仪主体1的顶部位于控制面板10的一侧铰接有盖板11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；盖板11在没有关上的时候仪器不能检测，升降机构3会夹伤风险盖板设计规避此类风险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A458094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血糖仪主体1的前表面安装有灯带12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通过灯带12的设置，白灯为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血糖仪主体1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准备就绪，蓝灯为机器运行，红灯为机器错误或故障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36BDF1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血糖仪主体1的后表面安装有接口13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；接口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包含RS232，USB，RJ45网口和电源输入，通过接口13中的RS232或RJ45可与信息系统连接支持HL7和ASTM协议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BC1D9D3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在工作时：选择合适位置，工作温度为+15~+35°C，存放温度为-20~+35°C，相对湿度为20~95%，避免阳光直射、强电磁场和电离辐射，水平放置在实验室工作台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连接主电源时，将电源插头上的锁向后拉，连接到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血糖仪主体1的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电源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接口13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，再与主插座连接，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血糖仪主体1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自动开机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打开防护罩，按步骤放置酶电极生物传感器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、安装泵管、放置清洗液瓶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和废液瓶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，采用酶电极生物传感器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作为核心检测元件，通过点击控制面板10开始检测控制面板10会显示实时检测状态，样本架2会移动到升降机构3取样针下传感器会检测试剂杯是否存在并有液体，升降机构3取样同时蠕动泵7通过旋转挤压，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采集的全血样本与传感器接触，样本中的葡萄糖在酶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的催化作用下发生化学反应，在这个过程中，会产生与葡萄糖浓度相关的电信号，其灵敏度在0.5-3.0nA/mmol/L，能精准感知葡萄糖浓度变化，快速产生对应电信号，响应时间小于6s，为后续检测提供初始数据基础，检测模块获取酶电极生物传感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产生的电信号后，将其传输至数据处理模块，数据处理模块运用特定算法，对电信号进行放大、滤波、模数转换等处理，去除干扰信号，将模拟信号转换为数字信号，便于后续精确分析计算，进而得出准确的血糖浓度数值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533230B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以上所述，仅为本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的具体实施方式，但本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的保护范围并不局限于此，任何熟悉本技术领域的技术人员在本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揭露的技术范围内，可轻易想到其各种变化或替换，这些都应涵盖在本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的保护范围之内。因此，本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的保护范围应以所述权利要求的保护范围为准。</w:t>
      </w:r>
    </w:p>
    <w:p w14:paraId="35062309">
      <w:pPr>
        <w:spacing w:before="312" w:beforeLines="100" w:after="312" w:afterLines="10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0BAADC78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1875" cy="4763770"/>
            <wp:effectExtent l="0" t="0" r="3175" b="17780"/>
            <wp:docPr id="2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476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660F3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</w:t>
      </w:r>
    </w:p>
    <w:p w14:paraId="4C71CD8B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5050" cy="4843780"/>
            <wp:effectExtent l="0" t="0" r="0" b="13970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84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3DF2C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</w:t>
      </w:r>
    </w:p>
    <w:p w14:paraId="6B2552FD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1875" cy="4354195"/>
            <wp:effectExtent l="0" t="0" r="3175" b="8255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435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784DE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</w:t>
      </w:r>
    </w:p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97B5C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4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4737344C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E1080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5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hint="eastAsia" w:ascii="Arial" w:hAnsi="Arial" w:cs="Arial"/>
        <w:bCs/>
        <w:sz w:val="20"/>
        <w:szCs w:val="20"/>
      </w:rPr>
      <w:t>1</w:t>
    </w:r>
  </w:p>
  <w:p w14:paraId="6B3A9055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902DC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1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3961F2B8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4EC0D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100002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01CFC0E7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F802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100003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4EAA63E6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E3894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06A92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6B835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C5C36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ED99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2856CA8"/>
    <w:rsid w:val="062B027D"/>
    <w:rsid w:val="08B6102D"/>
    <w:rsid w:val="0BFF4DA2"/>
    <w:rsid w:val="0C3C77C2"/>
    <w:rsid w:val="113F222E"/>
    <w:rsid w:val="11511F61"/>
    <w:rsid w:val="186574ED"/>
    <w:rsid w:val="18B947A4"/>
    <w:rsid w:val="1D5C7CC4"/>
    <w:rsid w:val="1DB267EB"/>
    <w:rsid w:val="1DB90C77"/>
    <w:rsid w:val="1E05055E"/>
    <w:rsid w:val="205E28E6"/>
    <w:rsid w:val="2296767D"/>
    <w:rsid w:val="229D3A06"/>
    <w:rsid w:val="27BC5F2F"/>
    <w:rsid w:val="294A30C6"/>
    <w:rsid w:val="31FC517A"/>
    <w:rsid w:val="32EB1476"/>
    <w:rsid w:val="336916AC"/>
    <w:rsid w:val="36C724BE"/>
    <w:rsid w:val="36EB0824"/>
    <w:rsid w:val="386473A8"/>
    <w:rsid w:val="3897128C"/>
    <w:rsid w:val="3A4E007E"/>
    <w:rsid w:val="3E784FAE"/>
    <w:rsid w:val="3F850EA5"/>
    <w:rsid w:val="3FE200A5"/>
    <w:rsid w:val="41BD0482"/>
    <w:rsid w:val="44F52628"/>
    <w:rsid w:val="46D83FB0"/>
    <w:rsid w:val="47EC52D3"/>
    <w:rsid w:val="4E1D7948"/>
    <w:rsid w:val="510D659C"/>
    <w:rsid w:val="57465839"/>
    <w:rsid w:val="57DA1989"/>
    <w:rsid w:val="5D2C7D43"/>
    <w:rsid w:val="63AB4186"/>
    <w:rsid w:val="68DE6C8A"/>
    <w:rsid w:val="6C6E11E8"/>
    <w:rsid w:val="6CDE045D"/>
    <w:rsid w:val="6E1B4932"/>
    <w:rsid w:val="6F4227E6"/>
    <w:rsid w:val="70485431"/>
    <w:rsid w:val="70871AD7"/>
    <w:rsid w:val="727A5D97"/>
    <w:rsid w:val="747B67DD"/>
    <w:rsid w:val="750A7E6E"/>
    <w:rsid w:val="76BD5F61"/>
    <w:rsid w:val="77253244"/>
    <w:rsid w:val="78133AF1"/>
    <w:rsid w:val="791F6BF9"/>
    <w:rsid w:val="7ABD34A3"/>
    <w:rsid w:val="7B290AA3"/>
    <w:rsid w:val="7B2A2023"/>
    <w:rsid w:val="7C1A4147"/>
    <w:rsid w:val="7EDA28DC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7"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6">
    <w:name w:val="正文文本缩进 字符"/>
    <w:basedOn w:val="9"/>
    <w:link w:val="4"/>
    <w:qFormat/>
    <w:uiPriority w:val="0"/>
    <w:rPr>
      <w:rFonts w:ascii="宋体" w:hAnsi="宋体" w:eastAsia="宋体" w:cs="Times New Roman"/>
      <w:szCs w:val="20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字符"/>
    <w:basedOn w:val="9"/>
    <w:link w:val="17"/>
    <w:qFormat/>
    <w:uiPriority w:val="1"/>
    <w:rPr>
      <w:kern w:val="0"/>
      <w:sz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customXml" Target="../customXml/item1.xml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3342</Words>
  <Characters>3442</Characters>
  <Lines>34</Lines>
  <Paragraphs>9</Paragraphs>
  <TotalTime>5</TotalTime>
  <ScaleCrop>false</ScaleCrop>
  <LinksUpToDate>false</LinksUpToDate>
  <CharactersWithSpaces>3442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clq</cp:lastModifiedBy>
  <dcterms:modified xsi:type="dcterms:W3CDTF">2025-05-08T06:33:23Z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eyJoZGlkIjoiZWI0MzVkMTg2NTA2NzY3ZDBjNjk1NWJlNTMyNzMxY2YiLCJ1c2VySWQiOiI1MTc4MDU1NDMifQ==</vt:lpwstr>
  </property>
</Properties>
</file>