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FAFDE">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bookmarkStart w:id="0" w:name="_GoBack"/>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高分子材料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，包括聚酰亚胺基体质量分数为44%-92.3%</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核-壳结构橡胶粒子增韧剂质量分数为3%-15%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超支化聚酰亚胺增韧剂质量分数为2%-10%</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复合发泡剂质量分数为1%-6%</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发泡成核剂质量分数为0.5%-3%</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碳纳米管-石墨烯复合填料质量分数为0.1%-2%</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有机-无机杂化填料质量分数为1%-5%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抗氧化剂质量分数为0.1%-1%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润滑剂质量分数为0.1%-1%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独特的共聚型聚酰亚胺基体设计、复合增韧体系和复合发泡体系的应用，以及功能增强填料的引入，成功实现了聚酰亚胺发泡材料高韧性与超低密度的协同提升。材料密度可低至0.08-0.15g/cm³，同时拉伸强度可达3-5MPa，断裂伸长率为150-250%，有效解决了传统聚酰亚胺发泡材料难以兼顾韧性和密度的难题</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7897E3B0">
      <w:pPr>
        <w:ind w:firstLine="56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0FB80B99">
      <w:pPr>
        <w:ind w:firstLine="979" w:firstLineChars="0"/>
        <w:jc w:val="both"/>
        <w:rPr>
          <w:rFonts w:hint="eastAsia" w:ascii="楷体_GB2312" w:hAnsi="楷体_GB2312" w:eastAsia="楷体_GB2312" w:cs="楷体_GB2312"/>
          <w:color w:val="000000" w:themeColor="text1"/>
          <w:highlight w:val="none"/>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5019675" cy="6286500"/>
            <wp:effectExtent l="0" t="0" r="952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4"/>
                    <a:stretch>
                      <a:fillRect/>
                    </a:stretch>
                  </pic:blipFill>
                  <pic:spPr>
                    <a:xfrm>
                      <a:off x="0" y="0"/>
                      <a:ext cx="5019675" cy="6286500"/>
                    </a:xfrm>
                    <a:prstGeom prst="rect">
                      <a:avLst/>
                    </a:prstGeom>
                    <a:noFill/>
                    <a:ln>
                      <a:noFill/>
                    </a:ln>
                  </pic:spPr>
                </pic:pic>
              </a:graphicData>
            </a:graphic>
          </wp:inline>
        </w:drawing>
      </w:r>
    </w:p>
    <w:p w14:paraId="556BB05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，其特征在于：包括聚酰亚胺基体质量分数为44%-92.3%</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核-壳结构橡胶粒子增韧剂质量分数为3%-15%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超支化聚酰亚胺增韧剂质量分数为2%-10%</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复合发泡剂质量分数为1%-6%</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发泡成核剂质量分数为0.5%-3%</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碳纳米管-石墨烯复合填料质量分数为0.1%-2%</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有机-无机杂化填料质量分数为1%-5%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抗氧化剂质量分数为0.1%-1%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润滑剂质量分数为0.1%-1%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7E59E0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2.根据权利要求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聚酰亚胺基体</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采用共聚型聚酰亚胺，由多种二酐单体和二胺单体共聚而成，选用均苯四甲酸二酐（PMDA）、联苯四甲酸二酐（BPDA）与对苯二胺（PDA）、间苯二胺（m-PDA）进行共聚，共聚结构可以在保证材料基本耐热性能和力学性能的基础上，通过调整不同单体的比例，优化分子链的规整性和柔性，从而为后续提升材料的韧性和降低密度创造有利条件，共聚型聚酰亚胺的数均分子量控制在20000-50000之间，分子量分布较窄，以确保材料具有良好的加工性能和综合性能</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4CAC88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3.根据权利要求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核-壳结构橡胶粒子增韧剂如丁苯橡胶（SBR）为核、聚丙烯酸酯为壳的橡胶粒子</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核-壳结构的设计使得橡胶粒子在聚酰亚胺基体中既能提供良好的韧性，又能与基体有较好的相容性</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在材料受到外力作用时，橡胶粒子的核可以吸收和分散能量，阻止裂纹的扩展；而壳层则可以与聚酰亚胺基体形成良好的界面结合，提高增韧效果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超支化聚酰亚胺增韧剂引入超支化聚酰亚胺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超支化聚酰亚胺具有独特的三维结构和大量的端基，其分子链之间的缠结较少，能够在聚酰亚胺基体中形成局部的柔性区域，从而有效提高材料的韧性。同时，超支化聚酰亚胺的端基可以与聚酰亚胺基体发生化学反应，增强界面结合力，进一步提升增韧效果。</w:t>
      </w:r>
    </w:p>
    <w:p w14:paraId="0EA18CCD">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4.根据权利要求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复合发泡剂采用物理发泡剂和化学发泡剂相结合的复合发泡体系，物理发泡剂选用低沸点的氟代烃类物质，如二氯二氟甲烷（R-12）或三氟甲烷（R-23），其在加热过程中会气化膨胀，形成泡孔，化学发泡剂选用偶氮二甲酰胺（AC）和碳酸氢钠（NaHCO₃）的混合物，偶氮二甲酰胺在190-220℃分解产生氮气、一氧化碳和二氧化碳等气体，碳酸氢钠在较低温度下（约100-150℃）分解产生二氧化碳气体，通过复合使用物理和化学发泡剂，可以在不同的温度阶段产生气体，有利于形成均匀、细密的泡孔结构，复合发泡剂的总添加量为聚酰亚胺基体质量的1%-6%，其中物理发泡剂与化学发泡剂的质量比为1:（1-3），所述发泡成核剂添加质量分数为0.5%-3%的发泡成核剂，如纳米碳酸钙（CaCO₃）或纳米二氧化钛（TiO₂），发泡成核剂可以提供大量的成核位点，使气体在这些位点上聚集形成泡孔，从而提高泡孔的密度和均匀性，有助于降低材料的密度</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8C7D9C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5.根据权利要求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碳纳米管-石墨烯复合填料中碳纳米管具有优异的力学性能和导电性能，石墨烯具有高的比表面积和良好的热传导性能。将两者复合后，它们可以在聚酰亚胺基体中形成三维网络结构，不仅能够增强材料的力学性能，提高材料的拉伸强度和模量，还能改善材料的导电和导热性能，使材料在电子等领域具有更广泛的应用前景，所述有机-无机杂化填料如硅烷偶联剂改性的蒙脱土，杂化填料结合了有机基团和无机相的优点，既能与聚酰亚胺基体有良好的相容性，又能通过无机相的增强作用提高材料的热稳定性和力学性能。同时，有机基团还可以在一定程度上改善材料的加工性能</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1EA4B6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6.根据权利要求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1</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抗氧化剂如受阻酚类抗氧化剂1010或亚磷酸酯类抗氧化剂168</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抗氧化剂可以防止聚酰亚胺基体在高温加工和使用过程中发生氧化降解，延长材料的使用寿命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润滑剂如硬脂酸钙或聚乙烯蜡。润滑剂可以降低材料在加工过程中的摩擦阻力，提高材料的流动性和脱模性能，使材料的成型更加容易。</w:t>
      </w:r>
    </w:p>
    <w:p w14:paraId="01203A4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，配套如权利要求1-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6</w:t>
      </w:r>
      <w:r>
        <w:rPr>
          <w:rFonts w:hint="eastAsia" w:ascii="楷体_GB2312" w:hAnsi="楷体_GB2312" w:eastAsia="楷体_GB2312" w:cs="楷体_GB2312"/>
          <w:color w:val="000000" w:themeColor="text1"/>
          <w:sz w:val="28"/>
          <w:szCs w:val="28"/>
          <w:highlight w:val="none"/>
          <w14:textFill>
            <w14:solidFill>
              <w14:schemeClr w14:val="tx1"/>
            </w14:solidFill>
          </w14:textFill>
        </w:rPr>
        <w:t>任意一项所述的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包括以下步骤：</w:t>
      </w:r>
    </w:p>
    <w:p w14:paraId="6CA1BCB5">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S1、</w:t>
      </w:r>
      <w:r>
        <w:rPr>
          <w:rFonts w:hint="eastAsia" w:ascii="楷体_GB2312" w:hAnsi="楷体_GB2312" w:eastAsia="楷体_GB2312" w:cs="楷体_GB2312"/>
          <w:color w:val="000000" w:themeColor="text1"/>
          <w:sz w:val="28"/>
          <w:szCs w:val="28"/>
          <w:highlight w:val="none"/>
          <w14:textFill>
            <w14:solidFill>
              <w14:schemeClr w14:val="tx1"/>
            </w14:solidFill>
          </w14:textFill>
        </w:rPr>
        <w:t>原料预处理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B7FA9BE">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S2、</w:t>
      </w:r>
      <w:r>
        <w:rPr>
          <w:rFonts w:hint="eastAsia" w:ascii="楷体_GB2312" w:hAnsi="楷体_GB2312" w:eastAsia="楷体_GB2312" w:cs="楷体_GB2312"/>
          <w:color w:val="000000" w:themeColor="text1"/>
          <w:sz w:val="28"/>
          <w:szCs w:val="28"/>
          <w:highlight w:val="none"/>
          <w14:textFill>
            <w14:solidFill>
              <w14:schemeClr w14:val="tx1"/>
            </w14:solidFill>
          </w14:textFill>
        </w:rPr>
        <w:t>预聚体合成</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632E99E4">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S3、</w:t>
      </w:r>
      <w:r>
        <w:rPr>
          <w:rFonts w:hint="eastAsia" w:ascii="楷体_GB2312" w:hAnsi="楷体_GB2312" w:eastAsia="楷体_GB2312" w:cs="楷体_GB2312"/>
          <w:color w:val="000000" w:themeColor="text1"/>
          <w:sz w:val="28"/>
          <w:szCs w:val="28"/>
          <w:highlight w:val="none"/>
          <w14:textFill>
            <w14:solidFill>
              <w14:schemeClr w14:val="tx1"/>
            </w14:solidFill>
          </w14:textFill>
        </w:rPr>
        <w:t>添加剂添加与混合</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74CD4F7">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S4、</w:t>
      </w:r>
      <w:r>
        <w:rPr>
          <w:rFonts w:hint="eastAsia" w:ascii="楷体_GB2312" w:hAnsi="楷体_GB2312" w:eastAsia="楷体_GB2312" w:cs="楷体_GB2312"/>
          <w:color w:val="000000" w:themeColor="text1"/>
          <w:sz w:val="28"/>
          <w:szCs w:val="28"/>
          <w:highlight w:val="none"/>
          <w14:textFill>
            <w14:solidFill>
              <w14:schemeClr w14:val="tx1"/>
            </w14:solidFill>
          </w14:textFill>
        </w:rPr>
        <w:t>涂膜与干燥</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64C63F6">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S5、</w:t>
      </w:r>
      <w:r>
        <w:rPr>
          <w:rFonts w:hint="eastAsia" w:ascii="楷体_GB2312" w:hAnsi="楷体_GB2312" w:eastAsia="楷体_GB2312" w:cs="楷体_GB2312"/>
          <w:color w:val="000000" w:themeColor="text1"/>
          <w:sz w:val="28"/>
          <w:szCs w:val="28"/>
          <w:highlight w:val="none"/>
          <w14:textFill>
            <w14:solidFill>
              <w14:schemeClr w14:val="tx1"/>
            </w14:solidFill>
          </w14:textFill>
        </w:rPr>
        <w:t>热亚胺化与发泡</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7519599">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S6、</w:t>
      </w:r>
      <w:r>
        <w:rPr>
          <w:rFonts w:hint="eastAsia" w:ascii="楷体_GB2312" w:hAnsi="楷体_GB2312" w:eastAsia="楷体_GB2312" w:cs="楷体_GB2312"/>
          <w:color w:val="000000" w:themeColor="text1"/>
          <w:sz w:val="28"/>
          <w:szCs w:val="28"/>
          <w:highlight w:val="none"/>
          <w14:textFill>
            <w14:solidFill>
              <w14:schemeClr w14:val="tx1"/>
            </w14:solidFill>
          </w14:textFill>
        </w:rPr>
        <w:t>后处理。</w:t>
      </w:r>
    </w:p>
    <w:p w14:paraId="0472B10D">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8</w:t>
      </w:r>
      <w:r>
        <w:rPr>
          <w:rFonts w:hint="eastAsia" w:ascii="楷体_GB2312" w:hAnsi="楷体_GB2312" w:eastAsia="楷体_GB2312" w:cs="楷体_GB2312"/>
          <w:color w:val="000000" w:themeColor="text1"/>
          <w:sz w:val="28"/>
          <w:szCs w:val="28"/>
          <w:highlight w:val="none"/>
          <w14:textFill>
            <w14:solidFill>
              <w14:schemeClr w14:val="tx1"/>
            </w14:solidFill>
          </w14:textFill>
        </w:rPr>
        <w:t>.根据权利要求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7</w:t>
      </w:r>
      <w:r>
        <w:rPr>
          <w:rFonts w:hint="eastAsia" w:ascii="楷体_GB2312" w:hAnsi="楷体_GB2312" w:eastAsia="楷体_GB2312" w:cs="楷体_GB2312"/>
          <w:color w:val="000000" w:themeColor="text1"/>
          <w:sz w:val="28"/>
          <w:szCs w:val="28"/>
          <w:highlight w:val="none"/>
          <w14:textFill>
            <w14:solidFill>
              <w14:schemeClr w14:val="tx1"/>
            </w14:solidFill>
          </w14:textFill>
        </w:rPr>
        <w:t>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，其特征在于：</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在所述S1中，</w:t>
      </w:r>
      <w:r>
        <w:rPr>
          <w:rFonts w:hint="eastAsia" w:ascii="楷体_GB2312" w:hAnsi="楷体_GB2312" w:eastAsia="楷体_GB2312" w:cs="楷体_GB2312"/>
          <w:color w:val="000000" w:themeColor="text1"/>
          <w:sz w:val="28"/>
          <w:szCs w:val="28"/>
          <w:highlight w:val="none"/>
          <w14:textFill>
            <w14:solidFill>
              <w14:schemeClr w14:val="tx1"/>
            </w14:solidFill>
          </w14:textFill>
        </w:rPr>
        <w:t>共聚型聚酰亚胺树脂在真空烘箱中于100-120℃干燥6-8小时，充分去除水分，避免水分影响发泡过程和材料性能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核-壳结构橡胶粒子增韧剂和超支化聚酰亚胺增韧剂若为固体，需研磨至粒径小于100目，确保在聚酰亚胺基体中均匀分散</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碳纳米管-石墨烯复合填料和有机-无机杂化填料进行表面改性处理。例如，碳纳米管-石墨烯复合填料采用强氧化剂进行氧化处理，使其表面带有羧基等活性基团；有机-无机杂化填料用硅烷偶联剂进行处理，增强其与聚酰亚胺基体的界面结合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发泡剂和发泡成核剂进行干燥处理，防止水分影响发泡效果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抗氧化剂和润滑剂进行粉碎和混合处理，使其能够均匀地分散在体系中</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ADCC844">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在所述S2中，</w:t>
      </w:r>
      <w:r>
        <w:rPr>
          <w:rFonts w:hint="eastAsia" w:ascii="楷体_GB2312" w:hAnsi="楷体_GB2312" w:eastAsia="楷体_GB2312" w:cs="楷体_GB2312"/>
          <w:color w:val="000000" w:themeColor="text1"/>
          <w:sz w:val="28"/>
          <w:szCs w:val="28"/>
          <w:highlight w:val="none"/>
          <w14:textFill>
            <w14:solidFill>
              <w14:schemeClr w14:val="tx1"/>
            </w14:solidFill>
          </w14:textFill>
        </w:rPr>
        <w:t>在氮气保护下，将多种二酐单体（如PMDA和BPDA）和二胺单体（如PDA和m-PDA）按照一定的摩尔比（如1:1-1.05）加入到N,N-二甲基乙酰胺（DMAc）或N-甲基-2-吡咯烷酮（NMP）等有机溶剂中</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在室温下搅拌反应3-5小时，使单体充分溶解并初步反应，然后升温至80-100℃，继续反应6-8小时，形成聚酰胺酸预聚体溶液。反应过程中，严格控制反应温度、时间和单体比例，确保预聚体的分子量和结构符合要求</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1DCD425F">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在所述S3中，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将预处理后的增韧体系（核-壳结构橡胶粒子增韧剂和超支化聚酰亚胺增韧剂）加入到聚酰胺酸预聚体溶液中，采用高速搅拌器以800-1200r/min的转速搅拌2-3小时，使增韧剂均匀分散在预聚体溶液中</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接着加入经过表面处理的功能增强填料（碳纳米管-石墨烯复合填料和有机-无机杂化填料），继续搅拌2-3小时，确保填料在体系中均匀分散，避免团聚现象的发生</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再加入复合发泡剂、发泡成核剂、抗氧化剂和润滑剂，搅拌1-2小时，使所有添加剂充分混合均匀</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5AC77F9">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在所述S4中，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将混合均匀的溶液均匀涂覆在平整的模具表面，涂膜厚度根据所需材料的厚度进行调整，一般为1-3mm</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将涂膜后的模具放入烘箱中，在80-100℃下干燥4-6小时，使溶剂缓慢挥发，形成具有一定强度的预聚物膜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干燥过程中需控制烘箱内的通风条件，避免溶剂挥发过快导致膜表面出现缺陷</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66F25CC4">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在所述S5中，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将干燥后的预聚物膜连同模具放入高温烘箱中，按照一定的升温程序进行热亚胺化和发泡反应</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首先，以1-3℃/min的升温速率升温至150-180℃，保持2-3小时，使聚酰胺酸进一步脱水环化，转化为聚酰亚胺，同时部分化学发泡剂（如碳酸氢钠）开始分解产生气体，形成初步的泡孔结构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然后，继续以2-4℃/min的升温速率升温至220-250℃，保持3-5小时，使化学发泡剂（如偶氮二甲酰胺）充分分解，物理发泡剂气化膨胀，泡孔进一步长大并均匀分布，材料的密度进一步降低。在这个过程中，聚酰亚胺分子链之间发生交联反应，增强材料的力学性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7E2E39D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在所述S6中，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将发泡后的材料从模具中取出，放入真空烘箱中，在320-380℃下退火处理4-6小时，消除材料内部的应力，提高材料的尺寸稳定性和力学性能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对退火后的材料进行表面处理，如打磨、抛光等，以满足不同应用场景对材料表面质量的要求。</w:t>
      </w:r>
    </w:p>
    <w:p w14:paraId="285E366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0D70E68">
      <w:pPr>
        <w:spacing w:before="468" w:beforeLines="150" w:after="468" w:afterLines="150"/>
        <w:jc w:val="cente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pP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一种高韧性超低密度聚酰亚胺发泡材料及其制备方法</w:t>
      </w:r>
    </w:p>
    <w:p w14:paraId="0B9DD468">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技术领域</w:t>
      </w:r>
    </w:p>
    <w:p w14:paraId="589603C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涉及</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高分子材料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技术领域，具体为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一种高韧性超低密度聚酰亚胺发泡材料及其制备方法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448803D">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背景技术</w:t>
      </w:r>
    </w:p>
    <w:p w14:paraId="14AD88F2">
      <w:pPr>
        <w:spacing w:line="520" w:lineRule="exact"/>
        <w:ind w:firstLine="561"/>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聚酰亚胺发泡材料凭借其耐高温、耐化学腐蚀、低介电常数等特性，在航空航天、电子、建筑等领域有着广泛应用前景。然而，传统聚酰亚胺发泡材料在追求低密度时，韧性难以保障，易出现开裂、破损等问题，限制了其在高性能要求领域的应用。现有的制备方法在提升材料韧性时，常对其他性能产生负面影响，如降低耐热性、增加密度等，无法满足市场对高性能聚酰亚胺发泡材料的需求</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为此，提出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一种高韧性超低密度聚酰亚胺发泡材料及其制备方法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4D50894C">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cs="楷体_GB2312"/>
          <w:color w:val="000000" w:themeColor="text1"/>
          <w:w w:val="100"/>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w w:val="100"/>
          <w:szCs w:val="28"/>
          <w:highlight w:val="none"/>
          <w14:textFill>
            <w14:solidFill>
              <w14:schemeClr w14:val="tx1"/>
            </w14:solidFill>
          </w14:textFill>
        </w:rPr>
        <w:t>内容</w:t>
      </w:r>
    </w:p>
    <w:p w14:paraId="67D7E0C2">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有鉴于此，本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提供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一种高韧性超低密度聚酰亚胺发泡材料及其制备方法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，以解决或缓解现有技术中存在的技术问题，至少提供一种有益的选择。</w:t>
      </w:r>
    </w:p>
    <w:p w14:paraId="5A8643E8">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的技术方案是这样实现的：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，包括聚酰亚胺基体质量分数为44%-92.3%</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核-壳结构橡胶粒子增韧剂质量分数为3%-15%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超支化聚酰亚胺增韧剂质量分数为2%-10%</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复合发泡剂质量分数为1%-6%</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发泡成核剂质量分数为0.5%-3%</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碳纳米管-石墨烯复合填料质量分数为0.1%-2%</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有机-无机杂化填料质量分数为1%-5%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抗氧化剂质量分数为0.1%-1%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润滑剂质量分数为0.1%-1%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9BC1BD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聚酰亚胺基体</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采用共聚型聚酰亚胺，由多种二酐单体和二胺单体共聚而成，选用均苯四甲酸二酐（PMDA）、联苯四甲酸二酐（BPDA）与对苯二胺（PDA）、间苯二胺（m-PDA）进行共聚，共聚结构可以在保证材料基本耐热性能和力学性能的基础上，通过调整不同单体的比例，优化分子链的规整性和柔性，从而为后续提升材料的韧性和降低密度创造有利条件，共聚型聚酰亚胺的数均分子量控制在20000-50000之间，分子量分布较窄，以确保材料具有良好的加工性能和综合性能</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6A280E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核-壳结构橡胶粒子增韧剂如丁苯橡胶（SBR）为核、聚丙烯酸酯为壳的橡胶粒子</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核-壳结构的设计使得橡胶粒子在聚酰亚胺基体中既能提供良好的韧性，又能与基体有较好的相容性</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在材料受到外力作用时，橡胶粒子的核可以吸收和分散能量，阻止裂纹的扩展；而壳层则可以与聚酰亚胺基体形成良好的界面结合，提高增韧效果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超支化聚酰亚胺增韧剂引入超支化聚酰亚胺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超支化聚酰亚胺具有独特的三维结构和大量的端基，其分子链之间的缠结较少，能够在聚酰亚胺基体中形成局部的柔性区域，从而有效提高材料的韧性。同时，超支化聚酰亚胺的端基可以与聚酰亚胺基体发生化学反应，增强界面结合力，进一步提升增韧效果。</w:t>
      </w:r>
    </w:p>
    <w:p w14:paraId="659B0231">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复合发泡剂采用物理发泡剂和化学发泡剂相结合的复合发泡体系，物理发泡剂选用低沸点的氟代烃类物质，如二氯二氟甲烷（R-12）或三氟甲烷（R-23），其在加热过程中会气化膨胀，形成泡孔，化学发泡剂选用偶氮二甲酰胺（AC）和碳酸氢钠（NaHCO₃）的混合物，偶氮二甲酰胺在190-220℃分解产生氮气、一氧化碳和二氧化碳等气体，碳酸氢钠在较低温度下（约100-150℃）分解产生二氧化碳气体，通过复合使用物理和化学发泡剂，可以在不同的温度阶段产生气体，有利于形成均匀、细密的泡孔结构，复合发泡剂的总添加量为聚酰亚胺基体质量的1%-6%，其中物理发泡剂与化学发泡剂的质量比为1:（1-3），所述发泡成核剂添加质量分数为0.5%-3%的发泡成核剂，如纳米碳酸钙（CaCO₃）或纳米二氧化钛（TiO₂），发泡成核剂可以提供大量的成核位点，使气体在这些位点上聚集形成泡孔，从而提高泡孔的密度和均匀性，有助于降低材料的密度</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2091F93">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碳纳米管-石墨烯复合填料中碳纳米管具有优异的力学性能和导电性能，石墨烯具有高的比表面积和良好的热传导性能。将两者复合后，它们可以在聚酰亚胺基体中形成三维网络结构，不仅能够增强材料的力学性能，提高材料的拉伸强度和模量，还能改善材料的导电和导热性能，使材料在电子等领域具有更广泛的应用前景，所述有机-无机杂化填料如硅烷偶联剂改性的蒙脱土，杂化填料结合了有机基团和无机相的优点，既能与聚酰亚胺基体有良好的相容性，又能通过无机相的增强作用提高材料的热稳定性和力学性能。同时，有机基团还可以在一定程度上改善材料的加工性能</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3B9162D5">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抗氧化剂如受阻酚类抗氧化剂1010或亚磷酸酯类抗氧化剂168</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抗氧化剂可以防止聚酰亚胺基体在高温加工和使用过程中发生氧化降解，延长材料的使用寿命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所述</w:t>
      </w:r>
      <w:r>
        <w:rPr>
          <w:rFonts w:hint="eastAsia" w:ascii="楷体_GB2312" w:hAnsi="楷体_GB2312" w:eastAsia="楷体_GB2312" w:cs="楷体_GB2312"/>
          <w:color w:val="000000" w:themeColor="text1"/>
          <w:sz w:val="28"/>
          <w:szCs w:val="28"/>
          <w:highlight w:val="none"/>
          <w14:textFill>
            <w14:solidFill>
              <w14:schemeClr w14:val="tx1"/>
            </w14:solidFill>
          </w14:textFill>
        </w:rPr>
        <w:t>润滑剂如硬脂酸钙或聚乙烯蜡。润滑剂可以降低材料在加工过程中的摩擦阻力，提高材料的流动性和脱模性能，使材料的成型更加容易。</w:t>
      </w:r>
    </w:p>
    <w:p w14:paraId="160A545C">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包括以下步骤：</w:t>
      </w:r>
    </w:p>
    <w:p w14:paraId="052E1813">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S1、</w:t>
      </w:r>
      <w:r>
        <w:rPr>
          <w:rFonts w:hint="eastAsia" w:ascii="楷体_GB2312" w:hAnsi="楷体_GB2312" w:eastAsia="楷体_GB2312" w:cs="楷体_GB2312"/>
          <w:color w:val="000000" w:themeColor="text1"/>
          <w:sz w:val="28"/>
          <w:szCs w:val="28"/>
          <w:highlight w:val="none"/>
          <w14:textFill>
            <w14:solidFill>
              <w14:schemeClr w14:val="tx1"/>
            </w14:solidFill>
          </w14:textFill>
        </w:rPr>
        <w:t>原料预处理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7C167898">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S2、</w:t>
      </w:r>
      <w:r>
        <w:rPr>
          <w:rFonts w:hint="eastAsia" w:ascii="楷体_GB2312" w:hAnsi="楷体_GB2312" w:eastAsia="楷体_GB2312" w:cs="楷体_GB2312"/>
          <w:color w:val="000000" w:themeColor="text1"/>
          <w:sz w:val="28"/>
          <w:szCs w:val="28"/>
          <w:highlight w:val="none"/>
          <w14:textFill>
            <w14:solidFill>
              <w14:schemeClr w14:val="tx1"/>
            </w14:solidFill>
          </w14:textFill>
        </w:rPr>
        <w:t>预聚体合成</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A1E208B">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S3、</w:t>
      </w:r>
      <w:r>
        <w:rPr>
          <w:rFonts w:hint="eastAsia" w:ascii="楷体_GB2312" w:hAnsi="楷体_GB2312" w:eastAsia="楷体_GB2312" w:cs="楷体_GB2312"/>
          <w:color w:val="000000" w:themeColor="text1"/>
          <w:sz w:val="28"/>
          <w:szCs w:val="28"/>
          <w:highlight w:val="none"/>
          <w14:textFill>
            <w14:solidFill>
              <w14:schemeClr w14:val="tx1"/>
            </w14:solidFill>
          </w14:textFill>
        </w:rPr>
        <w:t>添加剂添加与混合</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1CC9AC13">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S4、</w:t>
      </w:r>
      <w:r>
        <w:rPr>
          <w:rFonts w:hint="eastAsia" w:ascii="楷体_GB2312" w:hAnsi="楷体_GB2312" w:eastAsia="楷体_GB2312" w:cs="楷体_GB2312"/>
          <w:color w:val="000000" w:themeColor="text1"/>
          <w:sz w:val="28"/>
          <w:szCs w:val="28"/>
          <w:highlight w:val="none"/>
          <w14:textFill>
            <w14:solidFill>
              <w14:schemeClr w14:val="tx1"/>
            </w14:solidFill>
          </w14:textFill>
        </w:rPr>
        <w:t>涂膜与干燥</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1DAAF2D">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S5、</w:t>
      </w:r>
      <w:r>
        <w:rPr>
          <w:rFonts w:hint="eastAsia" w:ascii="楷体_GB2312" w:hAnsi="楷体_GB2312" w:eastAsia="楷体_GB2312" w:cs="楷体_GB2312"/>
          <w:color w:val="000000" w:themeColor="text1"/>
          <w:sz w:val="28"/>
          <w:szCs w:val="28"/>
          <w:highlight w:val="none"/>
          <w14:textFill>
            <w14:solidFill>
              <w14:schemeClr w14:val="tx1"/>
            </w14:solidFill>
          </w14:textFill>
        </w:rPr>
        <w:t>热亚胺化与发泡</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6683F117">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S6、</w:t>
      </w:r>
      <w:r>
        <w:rPr>
          <w:rFonts w:hint="eastAsia" w:ascii="楷体_GB2312" w:hAnsi="楷体_GB2312" w:eastAsia="楷体_GB2312" w:cs="楷体_GB2312"/>
          <w:color w:val="000000" w:themeColor="text1"/>
          <w:sz w:val="28"/>
          <w:szCs w:val="28"/>
          <w:highlight w:val="none"/>
          <w14:textFill>
            <w14:solidFill>
              <w14:schemeClr w14:val="tx1"/>
            </w14:solidFill>
          </w14:textFill>
        </w:rPr>
        <w:t>后处理。</w:t>
      </w:r>
    </w:p>
    <w:p w14:paraId="1FD4E33D">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进一步优选的，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在所述S1中，</w:t>
      </w:r>
      <w:r>
        <w:rPr>
          <w:rFonts w:hint="eastAsia" w:ascii="楷体_GB2312" w:hAnsi="楷体_GB2312" w:eastAsia="楷体_GB2312" w:cs="楷体_GB2312"/>
          <w:color w:val="000000" w:themeColor="text1"/>
          <w:sz w:val="28"/>
          <w:szCs w:val="28"/>
          <w:highlight w:val="none"/>
          <w14:textFill>
            <w14:solidFill>
              <w14:schemeClr w14:val="tx1"/>
            </w14:solidFill>
          </w14:textFill>
        </w:rPr>
        <w:t>共聚型聚酰亚胺树脂在真空烘箱中于100-120℃干燥6-8小时，充分去除水分，避免水分影响发泡过程和材料性能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核-壳结构橡胶粒子增韧剂和超支化聚酰亚胺增韧剂若为固体，需研磨至粒径小于100目，确保在聚酰亚胺基体中均匀分散</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碳纳米管-石墨烯复合填料和有机-无机杂化填料进行表面改性处理。例如，碳纳米管-石墨烯复合填料采用强氧化剂进行氧化处理，使其表面带有羧基等活性基团；有机-无机杂化填料用硅烷偶联剂进行处理，增强其与聚酰亚胺基体的界面结合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发泡剂和发泡成核剂进行干燥处理，防止水分影响发泡效果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抗氧化剂和润滑剂进行粉碎和混合处理，使其能够均匀地分散在体系中</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133E084">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在所述S2中，</w:t>
      </w:r>
      <w:r>
        <w:rPr>
          <w:rFonts w:hint="eastAsia" w:ascii="楷体_GB2312" w:hAnsi="楷体_GB2312" w:eastAsia="楷体_GB2312" w:cs="楷体_GB2312"/>
          <w:color w:val="000000" w:themeColor="text1"/>
          <w:sz w:val="28"/>
          <w:szCs w:val="28"/>
          <w:highlight w:val="none"/>
          <w14:textFill>
            <w14:solidFill>
              <w14:schemeClr w14:val="tx1"/>
            </w14:solidFill>
          </w14:textFill>
        </w:rPr>
        <w:t>在氮气保护下，将多种二酐单体（如PMDA和BPDA）和二胺单体（如PDA和m-PDA）按照一定的摩尔比（如1:1-1.05）加入到N,N-二甲基乙酰胺（DMAc）或N-甲基-2-吡咯烷酮（NMP）等有机溶剂中</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在室温下搅拌反应3-5小时，使单体充分溶解并初步反应，然后升温至80-100℃，继续反应6-8小时，形成聚酰胺酸预聚体溶液。反应过程中，严格控制反应温度、时间和单体比例，确保预聚体的分子量和结构符合要求</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D60D111">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在所述S3中，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将预处理后的增韧体系（核-壳结构橡胶粒子增韧剂和超支化聚酰亚胺增韧剂）加入到聚酰胺酸预聚体溶液中，采用高速搅拌器以800-1200r/min的转速搅拌2-3小时，使增韧剂均匀分散在预聚体溶液中</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接着加入经过表面处理的功能增强填料（碳纳米管-石墨烯复合填料和有机-无机杂化填料），继续搅拌2-3小时，确保填料在体系中均匀分散，避免团聚现象的发生</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再加入复合发泡剂、发泡成核剂、抗氧化剂和润滑剂，搅拌1-2小时，使所有添加剂充分混合均匀</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09248393">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在所述S4中，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将混合均匀的溶液均匀涂覆在平整的模具表面，涂膜厚度根据所需材料的厚度进行调整，一般为1-3mm</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将涂膜后的模具放入烘箱中，在80-100℃下干燥4-6小时，使溶剂缓慢挥发，形成具有一定强度的预聚物膜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干燥过程中需控制烘箱内的通风条件，避免溶剂挥发过快导致膜表面出现缺陷</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31FDE1D">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在所述S5中，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将干燥后的预聚物膜连同模具放入高温烘箱中，按照一定的升温程序进行热亚胺化和发泡反应</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首先，以1-3℃/min的升温速率升温至150-180℃，保持2-3小时，使聚酰胺酸进一步脱水环化，转化为聚酰亚胺，同时部分化学发泡剂（如碳酸氢钠）开始分解产生气体，形成初步的泡孔结构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然后，继续以2-4℃/min的升温速率升温至220-250℃，保持3-5小时，使化学发泡剂（如偶氮二甲酰胺）充分分解，物理发泡剂气化膨胀，泡孔进一步长大并均匀分布，材料的密度进一步降低。在这个过程中，聚酰亚胺分子链之间发生交联反应，增强材料的力学性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79F8AC7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在所述S6中，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将发泡后的材料从模具中取出，放入真空烘箱中，在320-380℃下退火处理4-6小时，消除材料内部的应力，提高材料的尺寸稳定性和力学性能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对退火后的材料进行表面处理，如打磨、抛光等，以满足不同应用场景对材料表面质量的要求</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w:t>
      </w:r>
    </w:p>
    <w:p w14:paraId="3CB2E3E8">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实施例由于采用以上技术方案，其具有以下优点：</w:t>
      </w:r>
    </w:p>
    <w:p w14:paraId="65D35491">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一、</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通过独特的共聚型聚酰亚胺基体设计、复合增韧体系和复合发泡体系的应用，以及功能增强填料的引入，成功实现了聚酰亚胺发泡材料高韧性与超低密度的协同提升。材料密度可低至0.08-0.15g/cm³，同时拉伸强度可达3-5MPa，断裂伸长率为150-250%，有效解决了传统聚酰亚胺发泡材料难以兼顾韧性和密度的难题。</w:t>
      </w:r>
    </w:p>
    <w:p w14:paraId="1BCBF009">
      <w:pPr>
        <w:spacing w:line="50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二、</w:t>
      </w:r>
      <w:r>
        <w:rPr>
          <w:rFonts w:hint="eastAsia" w:ascii="楷体_GB2312" w:hAnsi="楷体_GB2312" w:eastAsia="楷体_GB2312" w:cs="楷体_GB2312"/>
          <w:color w:val="000000" w:themeColor="text1"/>
          <w:sz w:val="28"/>
          <w:szCs w:val="28"/>
          <w:highlight w:val="none"/>
          <w14:textFill>
            <w14:solidFill>
              <w14:schemeClr w14:val="tx1"/>
            </w14:solidFill>
          </w14:textFill>
        </w:rPr>
        <w:t>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发明材料不仅具有高韧性和超低密度，还具备良好的导电、导热性能以及热稳定性和加工性能。碳纳米管-石墨烯复合填料和有机-无机杂化填料的添加，使材料在电子、航空航天等领域具有更广泛的应用前景。</w:t>
      </w:r>
    </w:p>
    <w:p w14:paraId="31B2EF59">
      <w:pPr>
        <w:spacing w:line="50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本发明的制备方法通过优化原料预处理、预聚体合成、添加剂混合、热亚胺化与发泡以及后处理等工艺步骤，实现了对材料结构和性能的精确调控。各步骤参数明确，易于操作和控制，有利于实现工业化大规模生产</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F09C79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上述概述仅仅是为了说明书的目的，并不意图以任何方式进行限制。除上述描述的示意性的方面、实施方式和特征之外，通过参考附图和以下的详细描述，本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进一步的方面、实施方式和特征将会是容易明白的。</w:t>
      </w:r>
    </w:p>
    <w:p w14:paraId="1B6936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附图说明</w:t>
      </w:r>
    </w:p>
    <w:p w14:paraId="6C7E5F0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为了更清楚地说明本申请实施例或现有技术中的技术方案，下面将对实施例或</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现</w:t>
      </w:r>
      <w:r>
        <w:rPr>
          <w:rFonts w:hint="eastAsia" w:ascii="楷体_GB2312" w:hAnsi="楷体_GB2312" w:eastAsia="楷体_GB2312" w:cs="楷体_GB2312"/>
          <w:color w:val="000000" w:themeColor="text1"/>
          <w:sz w:val="28"/>
          <w:szCs w:val="28"/>
          <w:highlight w:val="none"/>
          <w14:textFill>
            <w14:solidFill>
              <w14:schemeClr w14:val="tx1"/>
            </w14:solidFill>
          </w14:textFill>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0CFF2520">
      <w:pPr>
        <w:spacing w:line="520" w:lineRule="exact"/>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方法流程</w:t>
      </w:r>
      <w:r>
        <w:rPr>
          <w:rFonts w:hint="eastAsia" w:ascii="楷体_GB2312" w:hAnsi="楷体_GB2312" w:eastAsia="楷体_GB2312" w:cs="楷体_GB2312"/>
          <w:color w:val="000000" w:themeColor="text1"/>
          <w:sz w:val="28"/>
          <w:szCs w:val="28"/>
          <w:highlight w:val="none"/>
          <w14:textFill>
            <w14:solidFill>
              <w14:schemeClr w14:val="tx1"/>
            </w14:solidFill>
          </w14:textFill>
        </w:rPr>
        <w:t>图。</w:t>
      </w:r>
    </w:p>
    <w:p w14:paraId="6CC87556">
      <w:pPr>
        <w:pStyle w:val="2"/>
        <w:spacing w:before="468" w:beforeLines="150" w:after="156" w:afterLines="50" w:line="240" w:lineRule="auto"/>
        <w:rPr>
          <w:rFonts w:hint="eastAsia" w:ascii="楷体_GB2312" w:hAnsi="楷体_GB2312" w:eastAsia="楷体_GB2312" w:cs="楷体_GB2312"/>
          <w:color w:val="000000" w:themeColor="text1"/>
          <w:w w:val="100"/>
          <w:szCs w:val="28"/>
          <w:highlight w:val="none"/>
          <w14:textFill>
            <w14:solidFill>
              <w14:schemeClr w14:val="tx1"/>
            </w14:solidFill>
          </w14:textFill>
        </w:rPr>
      </w:pPr>
      <w:r>
        <w:rPr>
          <w:rFonts w:hint="eastAsia" w:ascii="楷体_GB2312" w:hAnsi="楷体_GB2312" w:eastAsia="楷体_GB2312" w:cs="楷体_GB2312"/>
          <w:color w:val="000000" w:themeColor="text1"/>
          <w:w w:val="100"/>
          <w:szCs w:val="28"/>
          <w:highlight w:val="none"/>
          <w14:textFill>
            <w14:solidFill>
              <w14:schemeClr w14:val="tx1"/>
            </w14:solidFill>
          </w14:textFill>
        </w:rPr>
        <w:t>具体实施方式</w:t>
      </w:r>
    </w:p>
    <w:p w14:paraId="5AE00371">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在下文中，仅简单地描述了某些示例性实施例。正如本领域技术人员可认识到的那样，在不脱离本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的精神或范围的情况下，可通过各种不同方式修改所描述的实施例。因此，附图和描述被认为本质上是示例性的而非限制性的。</w:t>
      </w:r>
    </w:p>
    <w:p w14:paraId="423C7F86">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下面结合附图对本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的实施例进行详细说明。</w:t>
      </w:r>
    </w:p>
    <w:p w14:paraId="50618E54">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如图1所示，本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实施例提供了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14:textFill>
            <w14:solidFill>
              <w14:schemeClr w14:val="tx1"/>
            </w14:solidFill>
          </w14:textFill>
        </w:rPr>
        <w:t>，包括聚酰亚胺基体质量分数为44%-92.3%</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核-壳结构橡胶粒子增韧剂质量分数为3%-15%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超支化聚酰亚胺增韧剂质量分数为2%-10%</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复合发泡剂质量分数为1%-6%</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发泡成核剂质量分数为0.5%-3%</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碳纳米管-石墨烯复合填料质量分数为0.1%-2%</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有机-无机杂化填料质量分数为1%-5%</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抗氧化剂质量分数为0.1%-1%</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和</w:t>
      </w:r>
      <w:r>
        <w:rPr>
          <w:rFonts w:hint="eastAsia" w:ascii="楷体_GB2312" w:hAnsi="楷体_GB2312" w:eastAsia="楷体_GB2312" w:cs="楷体_GB2312"/>
          <w:color w:val="000000" w:themeColor="text1"/>
          <w:sz w:val="28"/>
          <w:szCs w:val="28"/>
          <w:highlight w:val="none"/>
          <w14:textFill>
            <w14:solidFill>
              <w14:schemeClr w14:val="tx1"/>
            </w14:solidFill>
          </w14:textFill>
        </w:rPr>
        <w:t>润滑剂质量分数为0.1%-1%</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2CA5C71B">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聚酰亚胺基体</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采用共聚型聚酰亚胺，由多种二酐单体和二胺单体共聚而成，选用均苯四甲酸二酐（PMDA）、联苯四甲酸二酐（BPDA）与对苯二胺（PDA）、间苯二胺（m-PDA）进行共聚，共聚结构可以在保证材料基本耐热性能和力学性能的基础上，通过调整不同单体的比例，优化分子链的规整性和柔性，从而为后续提升材料的韧性和降低密度创造有利条件，共聚型聚酰亚胺的数均分子量控制在20000-50000之间，分子量分布较窄，以确保材料具有良好的加工性能和综合性能</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0DC381DE">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核-壳结构橡胶粒子增韧剂如丁苯橡胶（SBR）为核、聚丙烯酸酯为壳的橡胶粒子</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核-壳结构的设计使得橡胶粒子在聚酰亚胺基体中既能提供良好的韧性，又能与基体有较好的相容性</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在材料受到外力作用时，橡胶粒子的核可以吸收和分散能量，阻止裂纹的扩展；而壳层则可以与聚酰亚胺基体形成良好的界面结合，提高增韧效果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超支化聚酰亚胺增韧剂引入超支化聚酰亚胺</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超支化聚酰亚胺具有独特的三维结构和大量的端基，其分子链之间的缠结较少，能够在聚酰亚胺基体中形成局部的柔性区域，从而有效提高材料的韧性。同时，超支化聚酰亚胺的端基可以与聚酰亚胺基体发生化学反应，增强界面结合力，进一步提升增韧效果。</w:t>
      </w:r>
    </w:p>
    <w:p w14:paraId="3F4F2E52">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复合发泡剂采用物理发泡剂和化学发泡剂相结合的复合发泡体系，物理发泡剂选用低沸点的氟代烃类物质，如二氯二氟甲烷（R-12）或三氟甲烷（R-23），其在加热过程中会气化膨胀，形成泡孔，化学发泡剂选用偶氮二甲酰胺（AC）和碳酸氢钠（NaHCO₃）的混合物，偶氮二甲酰胺在190-220℃分解产生氮气、一氧化碳和二氧化碳等气体，碳酸氢钠在较低温度下（约100-150℃）分解产生二氧化碳气体，通过复合使用物理和化学发泡剂，可以在不同的温度阶段产生气体，有利于形成均匀、细密的泡孔结构，复合发泡剂的总添加量为聚酰亚胺基体质量的1%-6%，其中物理发泡剂与化学发泡剂的质量比为1:（1-3），发泡成核剂添加质量分数为0.5%-3%的发泡成核剂，如纳米碳酸钙（CaCO₃）或纳米二氧化钛（TiO₂），发泡成核剂可以提供大量的成核位点，使气体在这些位点上聚集形成泡孔，从而提高泡孔的密度和均匀性，有助于降低材料的密度</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651DB426">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碳纳米管-石墨烯复合填料中碳纳米管具有优异的力学性能和导电性能，石墨烯具有高的比表面积和良好的热传导性能。将两者复合后，它们可以在聚酰亚胺基体中形成三维网络结构，不仅能够增强材料的力学性能，提高材料的拉伸强度和模量，还能改善材料的导电和导热性能，使材料在电子等领域具有更广泛的应用前景，有机-无机杂化填料如硅烷偶联剂改性的蒙脱土，杂化填料结合了有机基团和无机相的优点，既能与聚酰亚胺基体有良好的相容性，又能通过无机相的增强作用提高材料的热稳定性和力学性能。同时，有机基团还可以在一定程度上改善材料的加工性能</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1758D00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抗氧化剂如受阻酚类抗氧化剂1010或亚磷酸酯类抗氧化剂168</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抗氧化剂可以防止聚酰亚胺基体在高温加工和使用过程中发生氧化降解，延长材料的使用寿命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润滑剂如硬脂酸钙或聚乙烯蜡。润滑剂可以降低材料在加工过程中的摩擦阻力，提高材料的流动性和脱模性能，使材料的成型更加容易。</w:t>
      </w:r>
    </w:p>
    <w:p w14:paraId="7722C1D6">
      <w:pPr>
        <w:spacing w:line="520" w:lineRule="exact"/>
        <w:ind w:firstLine="560" w:firstLineChars="200"/>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一种高韧性超低密度聚酰亚胺发泡材料</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制备方法</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包括以下步骤：</w:t>
      </w:r>
    </w:p>
    <w:p w14:paraId="7115EA6D">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S1、</w:t>
      </w:r>
      <w:r>
        <w:rPr>
          <w:rFonts w:hint="eastAsia" w:ascii="楷体_GB2312" w:hAnsi="楷体_GB2312" w:eastAsia="楷体_GB2312" w:cs="楷体_GB2312"/>
          <w:color w:val="000000" w:themeColor="text1"/>
          <w:sz w:val="28"/>
          <w:szCs w:val="28"/>
          <w:highlight w:val="none"/>
          <w14:textFill>
            <w14:solidFill>
              <w14:schemeClr w14:val="tx1"/>
            </w14:solidFill>
          </w14:textFill>
        </w:rPr>
        <w:t>原料预处理</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26A81F0">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S2、</w:t>
      </w:r>
      <w:r>
        <w:rPr>
          <w:rFonts w:hint="eastAsia" w:ascii="楷体_GB2312" w:hAnsi="楷体_GB2312" w:eastAsia="楷体_GB2312" w:cs="楷体_GB2312"/>
          <w:color w:val="000000" w:themeColor="text1"/>
          <w:sz w:val="28"/>
          <w:szCs w:val="28"/>
          <w:highlight w:val="none"/>
          <w14:textFill>
            <w14:solidFill>
              <w14:schemeClr w14:val="tx1"/>
            </w14:solidFill>
          </w14:textFill>
        </w:rPr>
        <w:t>预聚体合成</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2BF888F">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S3、</w:t>
      </w:r>
      <w:r>
        <w:rPr>
          <w:rFonts w:hint="eastAsia" w:ascii="楷体_GB2312" w:hAnsi="楷体_GB2312" w:eastAsia="楷体_GB2312" w:cs="楷体_GB2312"/>
          <w:color w:val="000000" w:themeColor="text1"/>
          <w:sz w:val="28"/>
          <w:szCs w:val="28"/>
          <w:highlight w:val="none"/>
          <w14:textFill>
            <w14:solidFill>
              <w14:schemeClr w14:val="tx1"/>
            </w14:solidFill>
          </w14:textFill>
        </w:rPr>
        <w:t>添加剂添加与混合</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22B830D">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S4、</w:t>
      </w:r>
      <w:r>
        <w:rPr>
          <w:rFonts w:hint="eastAsia" w:ascii="楷体_GB2312" w:hAnsi="楷体_GB2312" w:eastAsia="楷体_GB2312" w:cs="楷体_GB2312"/>
          <w:color w:val="000000" w:themeColor="text1"/>
          <w:sz w:val="28"/>
          <w:szCs w:val="28"/>
          <w:highlight w:val="none"/>
          <w14:textFill>
            <w14:solidFill>
              <w14:schemeClr w14:val="tx1"/>
            </w14:solidFill>
          </w14:textFill>
        </w:rPr>
        <w:t>涂膜与干燥</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F2515D5">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S5、</w:t>
      </w:r>
      <w:r>
        <w:rPr>
          <w:rFonts w:hint="eastAsia" w:ascii="楷体_GB2312" w:hAnsi="楷体_GB2312" w:eastAsia="楷体_GB2312" w:cs="楷体_GB2312"/>
          <w:color w:val="000000" w:themeColor="text1"/>
          <w:sz w:val="28"/>
          <w:szCs w:val="28"/>
          <w:highlight w:val="none"/>
          <w14:textFill>
            <w14:solidFill>
              <w14:schemeClr w14:val="tx1"/>
            </w14:solidFill>
          </w14:textFill>
        </w:rPr>
        <w:t>热亚胺化与发泡</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527C569F">
      <w:pPr>
        <w:spacing w:line="520" w:lineRule="exact"/>
        <w:ind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S6、</w:t>
      </w:r>
      <w:r>
        <w:rPr>
          <w:rFonts w:hint="eastAsia" w:ascii="楷体_GB2312" w:hAnsi="楷体_GB2312" w:eastAsia="楷体_GB2312" w:cs="楷体_GB2312"/>
          <w:color w:val="000000" w:themeColor="text1"/>
          <w:sz w:val="28"/>
          <w:szCs w:val="28"/>
          <w:highlight w:val="none"/>
          <w14:textFill>
            <w14:solidFill>
              <w14:schemeClr w14:val="tx1"/>
            </w14:solidFill>
          </w14:textFill>
        </w:rPr>
        <w:t>后处理。</w:t>
      </w:r>
    </w:p>
    <w:p w14:paraId="5C41BE4E">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在一个实施例中，</w:t>
      </w: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在S1中，</w:t>
      </w:r>
      <w:r>
        <w:rPr>
          <w:rFonts w:hint="eastAsia" w:ascii="楷体_GB2312" w:hAnsi="楷体_GB2312" w:eastAsia="楷体_GB2312" w:cs="楷体_GB2312"/>
          <w:color w:val="000000" w:themeColor="text1"/>
          <w:sz w:val="28"/>
          <w:szCs w:val="28"/>
          <w:highlight w:val="none"/>
          <w14:textFill>
            <w14:solidFill>
              <w14:schemeClr w14:val="tx1"/>
            </w14:solidFill>
          </w14:textFill>
        </w:rPr>
        <w:t>共聚型聚酰亚胺树脂在真空烘箱中于100-120℃干燥6-8小时，充分去除水分，避免水分影响发泡过程和材料性能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核-壳结构橡胶粒子增韧剂和超支化聚酰亚胺增韧剂若为固体，需研磨至粒径小于100目，确保在聚酰亚胺基体中均匀分散</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碳纳米管-石墨烯复合填料和有机-无机杂化填料进行表面改性处理。例如，碳纳米管-石墨烯复合填料采用强氧化剂进行氧化处理，使其表面带有羧基等活性基团；有机-无机杂化填料用硅烷偶联剂进行处理，增强其与聚酰亚胺基体的界面结合力</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发泡剂和发泡成核剂进行干燥处理，防止水分影响发泡效果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抗氧化剂和润滑剂进行粉碎和混合处理，使其能够均匀地分散在体系中</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5E863D8">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在S2中，</w:t>
      </w:r>
      <w:r>
        <w:rPr>
          <w:rFonts w:hint="eastAsia" w:ascii="楷体_GB2312" w:hAnsi="楷体_GB2312" w:eastAsia="楷体_GB2312" w:cs="楷体_GB2312"/>
          <w:color w:val="000000" w:themeColor="text1"/>
          <w:sz w:val="28"/>
          <w:szCs w:val="28"/>
          <w:highlight w:val="none"/>
          <w14:textFill>
            <w14:solidFill>
              <w14:schemeClr w14:val="tx1"/>
            </w14:solidFill>
          </w14:textFill>
        </w:rPr>
        <w:t>在氮气保护下，将多种二酐单体（如PMDA和BPDA）和二胺单体（如PDA和m-PDA）按照一定的摩尔比（如1:1-1.05）加入到N,N-二甲基乙酰胺（DMAc）或N-甲基-2-吡咯烷酮（NMP）等有机溶剂中</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在室温下搅拌反应3-5小时，使单体充分溶解并初步反应，然后升温至80-100℃，继续反应6-8小时，形成聚酰胺酸预聚体溶液。反应过程中，严格控制反应温度、时间和单体比例，确保预聚体的分子量和结构符合要求</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70FF6FF2">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在S3中，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将预处理后的增韧体系（核-壳结构橡胶粒子增韧剂和超支化聚酰亚胺增韧剂）加入到聚酰胺酸预聚体溶液中，采用高速搅拌器以800-1200r/min的转速搅拌2-3小时，使增韧剂均匀分散在预聚体溶液中</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接着加入经过表面处理的功能增强填料（碳纳米管-石墨烯复合填料和有机-无机杂化填料），继续搅拌2-3小时，确保填料在体系中均匀分散，避免团聚现象的发生</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再加入复合发泡剂、发泡成核剂、抗氧化剂和润滑剂，搅拌1-2小时，使所有添加剂充分混合均匀</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6D1519EC">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在S4中，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将混合均匀的溶液均匀涂覆在平整的模具表面，涂膜厚度根据所需材料的厚度进行调整，一般为1-3mm</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将涂膜后的模具放入烘箱中，在80-100℃下干燥4-6小时，使溶剂缓慢挥发，形成具有一定强度的预聚物膜</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干燥过程中需控制烘箱内的通风条件，避免溶剂挥发过快导致膜表面出现缺陷</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4BBB1CB2">
      <w:pPr>
        <w:spacing w:line="520" w:lineRule="exact"/>
        <w:ind w:firstLine="560" w:firstLineChars="200"/>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在S5中，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将干燥后的预聚物膜连同模具放入高温烘箱中，按照一定的升温程序进行热亚胺化和发泡反应</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首先，以1-3℃/min的升温速率升温至150-180℃，保持2-3小时，使聚酰胺酸进一步脱水环化，转化为聚酰亚胺，同时部分化学发泡剂（如碳酸氢钠）开始分解产生气体，形成初步的泡孔结构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然后，继续以2-4℃/min的升温速率升温至220-250℃，保持3-5小时，使化学发泡剂（如偶氮二甲酰胺）充分分解，物理发泡剂气化膨胀，泡孔进一步长大并均匀分布，材料的密度进一步降低。在这个过程中，聚酰亚胺分子链之间发生交联反应，增强材料的力学性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p>
    <w:p w14:paraId="3A9EA372">
      <w:pPr>
        <w:tabs>
          <w:tab w:val="left" w:pos="567"/>
        </w:tabs>
        <w:spacing w:line="500" w:lineRule="exact"/>
        <w:ind w:firstLine="560" w:firstLineChars="200"/>
        <w:rPr>
          <w:rFonts w:hint="eastAsia" w:ascii="楷体_GB2312" w:hAnsi="楷体_GB2312" w:eastAsia="楷体_GB2312" w:cs="楷体_GB2312"/>
          <w:color w:val="000000" w:themeColor="text1"/>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t>在S6中，</w:t>
      </w:r>
      <w:r>
        <w:rPr>
          <w:rFonts w:hint="eastAsia" w:ascii="楷体_GB2312" w:hAnsi="楷体_GB2312" w:eastAsia="楷体_GB2312" w:cs="楷体_GB2312"/>
          <w:color w:val="000000" w:themeColor="text1"/>
          <w:sz w:val="28"/>
          <w:szCs w:val="28"/>
          <w:highlight w:val="none"/>
          <w14:textFill>
            <w14:solidFill>
              <w14:schemeClr w14:val="tx1"/>
            </w14:solidFill>
          </w14:textFill>
        </w:rPr>
        <w:t>将发泡后的材料从模具中取出，放入真空烘箱中，在320-380℃下退火处理4-6小时，消除材料内部的应力，提高材料的尺寸稳定性和力学性能</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w:t>
      </w:r>
      <w:r>
        <w:rPr>
          <w:rFonts w:hint="eastAsia" w:ascii="楷体_GB2312" w:hAnsi="楷体_GB2312" w:eastAsia="楷体_GB2312" w:cs="楷体_GB2312"/>
          <w:color w:val="000000" w:themeColor="text1"/>
          <w:sz w:val="28"/>
          <w:szCs w:val="28"/>
          <w:highlight w:val="none"/>
          <w14:textFill>
            <w14:solidFill>
              <w14:schemeClr w14:val="tx1"/>
            </w14:solidFill>
          </w14:textFill>
        </w:rPr>
        <w:t>对退火后的材料进行表面处理，如打磨、抛光等，以满足不同应用场景对材料表面质量的要求</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w:t>
      </w:r>
    </w:p>
    <w:p w14:paraId="4533230B">
      <w:pPr>
        <w:pStyle w:val="4"/>
        <w:spacing w:line="520" w:lineRule="exact"/>
        <w:ind w:left="0" w:firstLine="560" w:firstLineChars="200"/>
        <w:rPr>
          <w:rFonts w:hint="eastAsia" w:ascii="楷体_GB2312" w:hAnsi="楷体_GB2312" w:eastAsia="楷体_GB2312" w:cs="楷体_GB2312"/>
          <w:color w:val="000000" w:themeColor="text1"/>
          <w:sz w:val="28"/>
          <w:szCs w:val="28"/>
          <w:highlight w:val="none"/>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以上所述，仅为本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的具体实施方式，但本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的保护范围并不局限于此，任何熟悉本技术领域的技术人员在本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揭露的技术范围内，可轻易想到其各种变化或替换，这些都应涵盖在本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的保护范围之内。因此，本</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发明</w:t>
      </w:r>
      <w:r>
        <w:rPr>
          <w:rFonts w:hint="eastAsia" w:ascii="楷体_GB2312" w:hAnsi="楷体_GB2312" w:eastAsia="楷体_GB2312" w:cs="楷体_GB2312"/>
          <w:color w:val="000000" w:themeColor="text1"/>
          <w:sz w:val="28"/>
          <w:szCs w:val="28"/>
          <w:highlight w:val="none"/>
          <w14:textFill>
            <w14:solidFill>
              <w14:schemeClr w14:val="tx1"/>
            </w14:solidFill>
          </w14:textFill>
        </w:rPr>
        <w:t>的保护范围应以所述权利要求的保护范围为准。</w:t>
      </w:r>
    </w:p>
    <w:p w14:paraId="35062309">
      <w:pPr>
        <w:spacing w:before="312" w:beforeLines="100" w:after="312" w:afterLines="100"/>
        <w:jc w:val="center"/>
        <w:rPr>
          <w:rFonts w:hint="eastAsia" w:ascii="楷体_GB2312" w:hAnsi="楷体_GB2312" w:eastAsia="楷体_GB2312" w:cs="楷体_GB2312"/>
          <w:color w:val="000000" w:themeColor="text1"/>
          <w:highlight w:val="none"/>
          <w14:textFill>
            <w14:solidFill>
              <w14:schemeClr w14:val="tx1"/>
            </w14:solidFill>
          </w14:textFill>
        </w:rPr>
        <w:sectPr>
          <w:headerReference r:id="rId9" w:type="default"/>
          <w:footerReference r:id="rId10" w:type="default"/>
          <w:pgSz w:w="11906" w:h="16838"/>
          <w:pgMar w:top="1418" w:right="851" w:bottom="851" w:left="1418" w:header="624" w:footer="227" w:gutter="0"/>
          <w:lnNumType w:countBy="0" w:restart="newSection"/>
          <w:pgNumType w:start="1"/>
          <w:cols w:space="425" w:num="1"/>
          <w:docGrid w:type="lines" w:linePitch="312" w:charSpace="0"/>
        </w:sectPr>
      </w:pPr>
    </w:p>
    <w:p w14:paraId="0BAADC78">
      <w:pPr>
        <w:jc w:val="center"/>
        <w:rPr>
          <w:rFonts w:hint="eastAsia" w:ascii="楷体_GB2312" w:hAnsi="楷体_GB2312" w:eastAsia="楷体_GB2312" w:cs="楷体_GB2312"/>
          <w:color w:val="000000" w:themeColor="text1"/>
          <w:sz w:val="28"/>
          <w:szCs w:val="28"/>
          <w:highlight w:val="none"/>
          <w14:textFill>
            <w14:solidFill>
              <w14:schemeClr w14:val="tx1"/>
            </w14:solidFill>
          </w14:textFill>
        </w:rPr>
      </w:pPr>
      <w:r>
        <w:rPr>
          <w:color w:val="000000" w:themeColor="text1"/>
          <w14:textFill>
            <w14:solidFill>
              <w14:schemeClr w14:val="tx1"/>
            </w14:solidFill>
          </w14:textFill>
        </w:rPr>
        <w:drawing>
          <wp:inline distT="0" distB="0" distL="114300" distR="114300">
            <wp:extent cx="5019675" cy="6286500"/>
            <wp:effectExtent l="0" t="0" r="952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4"/>
                    <a:stretch>
                      <a:fillRect/>
                    </a:stretch>
                  </pic:blipFill>
                  <pic:spPr>
                    <a:xfrm>
                      <a:off x="0" y="0"/>
                      <a:ext cx="5019675" cy="6286500"/>
                    </a:xfrm>
                    <a:prstGeom prst="rect">
                      <a:avLst/>
                    </a:prstGeom>
                    <a:noFill/>
                    <a:ln>
                      <a:noFill/>
                    </a:ln>
                  </pic:spPr>
                </pic:pic>
              </a:graphicData>
            </a:graphic>
          </wp:inline>
        </w:drawing>
      </w:r>
    </w:p>
    <w:p w14:paraId="7AD784DE">
      <w:pPr>
        <w:jc w:val="center"/>
        <w:rPr>
          <w:rFonts w:hint="eastAsia" w:ascii="楷体_GB2312" w:hAnsi="楷体_GB2312" w:eastAsia="楷体_GB2312" w:cs="楷体_GB2312"/>
          <w:color w:val="000000" w:themeColor="text1"/>
          <w:sz w:val="28"/>
          <w:szCs w:val="28"/>
          <w:highlight w:val="none"/>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highlight w:val="none"/>
          <w14:textFill>
            <w14:solidFill>
              <w14:schemeClr w14:val="tx1"/>
            </w14:solidFill>
          </w14:textFill>
        </w:rPr>
        <w:t>图1</w:t>
      </w:r>
    </w:p>
    <w:bookmarkEnd w:id="0"/>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7B5C">
    <w:pPr>
      <w:pStyle w:val="6"/>
    </w:pPr>
    <w:r>
      <w:rPr>
        <w:rFonts w:hint="eastAsia"/>
      </w:rPr>
      <mc:AlternateContent>
        <mc:Choice Requires="wps">
          <w:drawing>
            <wp:anchor distT="0" distB="0" distL="114300" distR="114300" simplePos="0" relativeHeight="251663360"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3360;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4737344C">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E1080">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6B3A9055">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902DC">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3961F2B8">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C0D">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1CFC0E7">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F802">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EAA63E6">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E3894">
    <w:pPr>
      <w:pStyle w:val="7"/>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06A92">
    <w:pPr>
      <w:pStyle w:val="7"/>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6B835">
    <w:pPr>
      <w:pStyle w:val="7"/>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C5C36">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ED99">
    <w:pPr>
      <w:pStyle w:val="7"/>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533D"/>
    <w:rsid w:val="000A2C12"/>
    <w:rsid w:val="000A636E"/>
    <w:rsid w:val="000C492A"/>
    <w:rsid w:val="000F1191"/>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406B2"/>
    <w:rsid w:val="00E51B05"/>
    <w:rsid w:val="00EC3842"/>
    <w:rsid w:val="00EC628F"/>
    <w:rsid w:val="00F471AC"/>
    <w:rsid w:val="00F74F0F"/>
    <w:rsid w:val="00F94191"/>
    <w:rsid w:val="00FA5597"/>
    <w:rsid w:val="00FF7E75"/>
    <w:rsid w:val="02856CA8"/>
    <w:rsid w:val="06216782"/>
    <w:rsid w:val="08B6102D"/>
    <w:rsid w:val="0BFF4DA2"/>
    <w:rsid w:val="0C3C77C2"/>
    <w:rsid w:val="113F222E"/>
    <w:rsid w:val="11511F61"/>
    <w:rsid w:val="186574ED"/>
    <w:rsid w:val="18B947A4"/>
    <w:rsid w:val="1D5C7CC4"/>
    <w:rsid w:val="1DB267EB"/>
    <w:rsid w:val="1DB90C77"/>
    <w:rsid w:val="1E05055E"/>
    <w:rsid w:val="205E28E6"/>
    <w:rsid w:val="2296767D"/>
    <w:rsid w:val="229D3A06"/>
    <w:rsid w:val="27BC5F2F"/>
    <w:rsid w:val="294A30C6"/>
    <w:rsid w:val="29CE4BBE"/>
    <w:rsid w:val="31FC517A"/>
    <w:rsid w:val="32EB1476"/>
    <w:rsid w:val="336916AC"/>
    <w:rsid w:val="36C724BE"/>
    <w:rsid w:val="36EB0824"/>
    <w:rsid w:val="3A4E007E"/>
    <w:rsid w:val="3E784FAE"/>
    <w:rsid w:val="3F850EA5"/>
    <w:rsid w:val="3FE200A5"/>
    <w:rsid w:val="41BD0482"/>
    <w:rsid w:val="44F52628"/>
    <w:rsid w:val="46D83FB0"/>
    <w:rsid w:val="4E1D7948"/>
    <w:rsid w:val="510D659C"/>
    <w:rsid w:val="57465839"/>
    <w:rsid w:val="57DA1989"/>
    <w:rsid w:val="5D2C7D43"/>
    <w:rsid w:val="63AB4186"/>
    <w:rsid w:val="68DE6C8A"/>
    <w:rsid w:val="6C6E11E8"/>
    <w:rsid w:val="6CDE045D"/>
    <w:rsid w:val="6E1B4932"/>
    <w:rsid w:val="6F7C7524"/>
    <w:rsid w:val="70485431"/>
    <w:rsid w:val="70871AD7"/>
    <w:rsid w:val="727A5D97"/>
    <w:rsid w:val="747B67DD"/>
    <w:rsid w:val="76BD5F61"/>
    <w:rsid w:val="77253244"/>
    <w:rsid w:val="7ABD34A3"/>
    <w:rsid w:val="7B290AA3"/>
    <w:rsid w:val="7B2A2023"/>
    <w:rsid w:val="7C1A4147"/>
    <w:rsid w:val="7E9E61ED"/>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16</Pages>
  <Words>1330</Words>
  <Characters>1388</Characters>
  <Lines>34</Lines>
  <Paragraphs>9</Paragraphs>
  <TotalTime>29</TotalTime>
  <ScaleCrop>false</ScaleCrop>
  <LinksUpToDate>false</LinksUpToDate>
  <CharactersWithSpaces>1388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2025-04-30T07:51:03Z</dcterms:modified>
  <dc:subject>实用新型</dc:subject>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93604BF65D274F1D848FE2B63F69165C</vt:lpwstr>
  </property>
  <property fmtid="{D5CDD505-2E9C-101B-9397-08002B2CF9AE}" pid="4" name="KSOTemplateDocerSaveRecord">
    <vt:lpwstr>eyJoZGlkIjoiZWI0MzVkMTg2NTA2NzY3ZDBjNjk1NWJlNTMyNzMxY2YiLCJ1c2VySWQiOiI1MTc4MDU1NDMifQ==</vt:lpwstr>
  </property>
</Properties>
</file>