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3CBC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包括接线套，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所述接线套的内侧固定安装有定位块，所述定位块的数量为五个，沿接线套的内侧等距分布，所述接线套的底部固定安装有壳体，所述壳体的内侧设置有定位组件，所述滑杆、硬质弹簧、滑套、第一连接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块、连接杆、第二连接块、隔板、支撑杆和夹块，所述滑杆固定安装于壳体的内侧，所述滑套滑动连接于滑杆表面的左右两侧，通过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定位组件的设置，使得接线过程更加高效和便捷，快速完成对线束的固定，不仅节省了接线时间，还提高了接线的准确性和稳定性。由于模块化设计允许快速更换和调整线路配置，减少了人为操作的错误和故障风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73AD9290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F585DC9">
      <w:pPr>
        <w:bidi w:val="0"/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5D1DBEBF">
      <w:pPr>
        <w:bidi w:val="0"/>
        <w:spacing w:line="360" w:lineRule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744090B6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ab/>
      </w:r>
    </w:p>
    <w:p w14:paraId="19B278EC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auto"/>
          <w:highlight w:val="none"/>
        </w:rPr>
        <w:drawing>
          <wp:inline distT="0" distB="0" distL="114300" distR="114300">
            <wp:extent cx="6116955" cy="4669155"/>
            <wp:effectExtent l="0" t="0" r="4445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6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8121"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包括接线套（1），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接线套（1）的内侧固定安装有定位块（2），所述定位块（2）的数量为五个，沿接线套（1）的内侧等距分布，所述接线套（1）的底部固定安装有壳体（3），所述壳体（3）的内侧设置有定位组件（4），所述滑杆（401）、硬质弹簧（402）、滑套（403）、第一连接块（404）、连接杆（405）、第二连接块（406）、隔板（407）、支撑杆（408）和夹块（409），所述滑杆（401）固定安装于壳体（3）的内侧，所述滑套（403）滑动连接于滑杆（401）表面的左右两侧，所述硬质弹簧（402）固定连接于壳体（3）内腔的左右两侧，两个所述硬质弹簧（402）均位于滑杆（401）的外侧，所述硬质弹簧（402）的另一端与滑套（403）固定连接，所述第一连接块（404）固定连接于两个所述滑套（403）的顶部，所述隔板（407）位于壳体（3）的内侧，所述支撑杆（408）连接于隔板（407）的顶部，所述夹块（409）固定连接于支撑杆（408）的顶部。</w:t>
      </w:r>
    </w:p>
    <w:p w14:paraId="7A57813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所述第二连接块（406）固定连接于隔板（407）底部的左右两侧，所述连接杆（405）通过转轴活动连接于第二连接块（406）的内侧，所述连接杆（405）的下端通过转轴活动连接于第一连接块（404）的内侧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DC1E7C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所述支撑杆（408）的贯穿壳体（3）并延伸至接线套（1）的内侧，所述支撑杆（408）和夹块（409）与定位块（2）的数量一致，均为五个，且五个所述夹块（409）与五个所述定位块（2）的中心点处于同一轴线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9220713"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所述隔板（407）的底部固定安装有（410），所述（410）贯穿壳体（3）并延伸至壳体（3）的底部。</w:t>
      </w:r>
    </w:p>
    <w:p w14:paraId="714FF280"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两个所述滑套（403）的底部均固定安装滑块（5），所述壳体（3）内侧底部的左右两侧均开设有连接槽（6），所述滑块（5）滑动连接于连接槽（6）的内侧。</w:t>
      </w:r>
    </w:p>
    <w:p w14:paraId="5210F2DF"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所述隔板（407）表面的左右两侧均固定安装有导向块（7），所述壳体（3）内侧的左右两侧均开设有导向槽（8），所述导向块（7）滑动连接于导向槽（8）的内侧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B1C658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所述接线套（1）表面的左右两侧均固定安装有装配板（9），所述壳体（3）的前后两侧均通过螺栓装配有盖板（10）。</w:t>
      </w:r>
    </w:p>
    <w:p w14:paraId="36CC02C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625C8286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一种便于快速接线的建筑电气配电箱模块化接线装置</w:t>
      </w:r>
    </w:p>
    <w:p w14:paraId="75BAE131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7AD3228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电气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5B2A0E3B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71908A51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电气配电箱是一种用于集中管理和分配电力的设备，通常用于建筑物、工厂、商场等场所，它的主要功能是将电力从主电源通过电气元件，如断路器、保险丝等，分配到各个电路，同时提供过载、短路等保护，配电箱内包含电气控制元件，确保电力系统的安全、稳定运行，并便于维护和检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为了确保电气元件之间的连接牢固可靠，需要使用接线设备对电线进行连接固定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41238115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授权公告号（CN222282493U）公开了一种模块化接线装置，包括主体机构、外壳机构和割线机构，所述主体机构位移外壳机构的内部，所述割线机构位于外壳机构的表面，所述主体机构包括固定柱，所述固定柱表面固定连接有连接块，所述连接块表面开设有连接孔，所述连接孔内部固定连接有铜管，所述铜管顶端固定连接有固定套，所述固定套表面固定连接有进线管，所述铜管表面开设有通孔，该实用新型通过设置固定柱，在通过电的线路从进线管穿入，当穿过后通过固定螺栓将线路固定在铜管内部，随后将所需要接线的线路以相同的方式安装在另一端铜管内部，将其连接起来进行线路的测试工作，当无漏电情况再将其重新进行连接组装保证线路连接安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18EE0559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有的模块化接线装置由于设计上的局限性，通常不具备快速接线的功能，这使得在进行线束固定时，需要耗费较多的时间和精力，由于接线过程繁琐，可能导致接线不够稳固，增加了电气系统故障的风险，同时，长期使用过程中，由于接线点松动或不牢固，还可能引发线路短路、接触不良等问题，影响整个系统的稳定性和安全性，甚至可能导致设备损坏或故障停机，增加维修和维护成本，</w:t>
      </w:r>
    </w:p>
    <w:p w14:paraId="72FC6ED0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4958886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实用新型内容</w:t>
      </w:r>
    </w:p>
    <w:p w14:paraId="321F8AA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有鉴于此，本实用新型提供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3E6DF4E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包括接线套，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接线套的内侧固定安装有定位块，所述定位块的数量为五个，沿接线套的内侧等距分布，所述接线套的底部固定安装有壳体，所述壳体的内侧设置有定位组件，所述滑杆、硬质弹簧、滑套、第一连接块、连接杆、第二连接块、隔板、支撑杆和夹块，所述滑杆固定安装于壳体的内侧，所述滑套滑动连接于滑杆表面的左右两侧，所述硬质弹簧固定连接于壳体内腔的左右两侧，两个所述硬质弹簧均位于滑杆的外侧，所述硬质弹簧的另一端与滑套固定连接，所述第一连接块固定连接于两个所述滑套的顶部，所述隔板位于壳体的内侧，所述支撑杆连接于隔板的顶部，所述夹块固定连接于支撑杆的顶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4CC6D44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所述第二连接块固定连接于隔板底部的左右两侧，所述连接杆通过转轴活动连接于第二连接块的内侧，所述连接杆的下端通过转轴活动连接于第一连接块的内侧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326040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所述支撑杆的贯穿壳体并延伸至接线套的内侧，所述支撑杆和夹块与定位块的数量一致，均为五个，且五个所述夹块与五个所述定位块的中心点处于同一轴线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10CEB0B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所述隔板的底部固定安装有，所述贯穿壳体并延伸至壳体的底部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77599EE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两个所述滑套的底部均固定安装滑块，所述壳体内侧底部的左右两侧均开设有连接槽，所述滑块滑动连接于连接槽的内侧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457EB10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所述隔板表面的左右两侧均固定安装有导向块，所述壳体内侧的左右两侧均开设有导向槽，所述导向块滑动连接于导向槽的内侧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48A1DBA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所述接线套表面的左右两侧均固定安装有装配板，所述壳体的前后两侧均通过螺栓装配有盖板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3652832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本实用新型实施例由于采用以上技术方案，其具有以下优点：</w:t>
      </w:r>
    </w:p>
    <w:p w14:paraId="43B7BF6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定位组件的设置，使得接线过程更加高效和便捷，快速完成对线束的固定，不仅节省了接线时间，还提高了接线的准确性和稳定性。由于模块化设计允许快速更换和调整线路配置，减少了人为操作的错误和故障风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07D70B9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的设置，可以方便操作人员拉动隔板时进行抓握，通过滑块和连接槽的设置，可以起到导向作用，避免滑套在移动过程中出现偏移，通过导向块和导向槽的设置，可以确保隔板沿既定轨迹移动，通过装配板的设置，可以使用外置螺栓将接线套与结构物进行连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AAE2B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076620C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4B1C119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25FC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2F39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立体底部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0C42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壳体剖视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6873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定位组件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13BF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图4中A处放大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图。</w:t>
      </w:r>
    </w:p>
    <w:p w14:paraId="4564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1、接线套；2、定位块；3、壳体；4、定位组件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；401、滑杆；402、硬质弹簧；403、滑套；404、第一连接块；405、连接杆；406、第二连接块；407、隔板；408、支撑杆；409、夹块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；5、滑块；6、连接槽；7、导向块；8、导向槽；9、装配板；10、盖板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CA52359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43093CB3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1C3484C4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下面结合附图对本实用新型的实施例进行详细说明。</w:t>
      </w:r>
    </w:p>
    <w:p w14:paraId="4D0DB0AD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6F8A73E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，本实用新型实施例提供了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一种便于快速接线的建筑电气配电箱模块化接线装置，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包括接线套1，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接线套1的内侧固定安装有定位块2，定位块2的数量为五个，沿接线套1的内侧等距分布，接线套1的底部固定安装有壳体3，壳体3的内侧设置有定位组件4，滑杆401、硬质弹簧402、滑套403、第一连接块404、连接杆405、第二连接块406、隔板407、支撑杆408和夹块409，滑杆401固定安装于壳体3的内侧，滑套403滑动连接于滑杆401表面的左右两侧，硬质弹簧402固定连接于壳体3内腔的左右两侧，两个硬质弹簧402均位于滑杆401的外侧，硬质弹簧402的另一端与滑套403固定连接，第一连接块404固定连接于两个滑套403的顶部，隔板407位于壳体3的内侧，支撑杆408连接于隔板407的顶部，夹块409固定连接于支撑杆408的顶部，述第二连接块406固定连接于隔板407底部的左右两侧，连接杆405通过转轴活动连接于第二连接块406的内侧，连接杆405的下端通过转轴活动连接于第一连接块404的内侧，支撑杆408的贯穿壳体3并延伸至接线套1的内侧，支撑杆408和夹块409与定位块2的数量一致，均为五个，且五个夹块409与五个定位块2的中心点处于同一轴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1972C41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定位组件4的设置，使得接线过程更加高效和便捷，快速完成对线束的固定，不仅节省了接线时间，还提高了接线的准确性和稳定性。由于模块化设计允许快速更换和调整线路配置，减少了人为操作的错误和故障风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43F0038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00C87CBE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隔板407的底部固定安装有410，410贯穿壳体3并延伸至壳体3的底部，两个滑套403的底部均固定安装滑块5，壳体3内侧底部的左右两侧均开设有连接槽6，滑块5滑动连接于连接槽6的内侧，隔板407表面的左右两侧均固定安装有导向块7，壳体3内侧的左右两侧均开设有导向槽8，导向块7滑动连接于导向槽8的内侧，接线套1表面的左右两侧均固定安装有装配板9，壳体3的前后两侧均通过螺栓装配有盖板10。</w:t>
      </w:r>
    </w:p>
    <w:p w14:paraId="6A4C53C1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410的设置，可以方便操作人员拉动隔板407时进行抓握，通过滑块5和连接槽6的设置，可以起到导向作用，避免滑套403在移动过程中出现偏移，通过导向块7和导向槽8的设置，可以确保隔板407沿既定轨迹移动，通过装配板9的设置，可以使用外置螺栓将接线套1与结构物进行连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E20FA40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本实用新型在工作时：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拉动410，带动隔板407向下移动，隔板407向下移动的过程中会带动支撑杆408与夹块409向下移动，并且第二连接块406会跟随隔板407向下移动，第二连接块406向下移动的过程中会带动连接杆405的上端向下移动，连接杆405上端移动的同时，由于其自身斜向设置，下端会向外侧横移，从而带动第一连接块404与滑套403向外侧移动，并对硬质弹簧402进行挤压，此时将电线穿过夹块409与定位块2之间并松放410，硬质弹簧402失去外力的挤压后会通过自身的张力进行回弹，从而带动滑套403与第一连接块404向内侧移动，使得隔板407、支撑杆408与夹块409向上移动，与电线接触，对电线进行固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48304C3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3A340B67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5E84193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16955" cy="4669155"/>
            <wp:effectExtent l="0" t="0" r="4445" b="44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66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E46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3CB93229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18860" cy="4688205"/>
            <wp:effectExtent l="0" t="0" r="2540" b="1079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FE8F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348DEE7D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14415" cy="4663440"/>
            <wp:effectExtent l="0" t="0" r="6985" b="1016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F02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1FE11A6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14415" cy="3614420"/>
            <wp:effectExtent l="0" t="0" r="6985" b="508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721D9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07266CBD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4902200" cy="4006850"/>
            <wp:effectExtent l="0" t="0" r="0" b="635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421F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41FABAD3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A1AC2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252715E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C5E55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39C3F342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6123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A0FA635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34AFA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80693C2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A14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F2A5606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37EF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A12B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83B8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EA8E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55EE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TBkZjNhODZjYzA5YWVhOTgyZWQ3NzlhNTFlNzA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8B6102D"/>
    <w:rsid w:val="0BD078E7"/>
    <w:rsid w:val="0C3C77C2"/>
    <w:rsid w:val="0CDB5124"/>
    <w:rsid w:val="113F222E"/>
    <w:rsid w:val="11511F61"/>
    <w:rsid w:val="11F832C7"/>
    <w:rsid w:val="1263335C"/>
    <w:rsid w:val="186574ED"/>
    <w:rsid w:val="18B947A4"/>
    <w:rsid w:val="1B2D4445"/>
    <w:rsid w:val="1D5C7CC4"/>
    <w:rsid w:val="1DB267EB"/>
    <w:rsid w:val="1DB90C77"/>
    <w:rsid w:val="22266AF2"/>
    <w:rsid w:val="2296767D"/>
    <w:rsid w:val="229D3A06"/>
    <w:rsid w:val="27BC5F2F"/>
    <w:rsid w:val="28475F9E"/>
    <w:rsid w:val="294A30C6"/>
    <w:rsid w:val="29626BFE"/>
    <w:rsid w:val="31FC517A"/>
    <w:rsid w:val="329F5225"/>
    <w:rsid w:val="32EB1476"/>
    <w:rsid w:val="34B3688B"/>
    <w:rsid w:val="356C3322"/>
    <w:rsid w:val="37B96C9A"/>
    <w:rsid w:val="38411994"/>
    <w:rsid w:val="399A3E5D"/>
    <w:rsid w:val="3A4E007E"/>
    <w:rsid w:val="3BC83FCB"/>
    <w:rsid w:val="3BCC2061"/>
    <w:rsid w:val="3CF353A7"/>
    <w:rsid w:val="3F850EA5"/>
    <w:rsid w:val="3FD43DFD"/>
    <w:rsid w:val="3FE200A5"/>
    <w:rsid w:val="401E6A24"/>
    <w:rsid w:val="41BD0482"/>
    <w:rsid w:val="43792226"/>
    <w:rsid w:val="44F52628"/>
    <w:rsid w:val="46D83FB0"/>
    <w:rsid w:val="4E190ECD"/>
    <w:rsid w:val="4E1D7948"/>
    <w:rsid w:val="502C3D52"/>
    <w:rsid w:val="510D659C"/>
    <w:rsid w:val="57DA1989"/>
    <w:rsid w:val="5CE05545"/>
    <w:rsid w:val="5D2C7D43"/>
    <w:rsid w:val="603E728B"/>
    <w:rsid w:val="62C8455B"/>
    <w:rsid w:val="63AB4186"/>
    <w:rsid w:val="67916DB3"/>
    <w:rsid w:val="68DE6C8A"/>
    <w:rsid w:val="69F20F9E"/>
    <w:rsid w:val="6C6E11E8"/>
    <w:rsid w:val="6CDE045D"/>
    <w:rsid w:val="6DD71BE8"/>
    <w:rsid w:val="6E650A10"/>
    <w:rsid w:val="70871AD7"/>
    <w:rsid w:val="70B04ACE"/>
    <w:rsid w:val="727A5D97"/>
    <w:rsid w:val="747B67DD"/>
    <w:rsid w:val="76BD5F61"/>
    <w:rsid w:val="77253244"/>
    <w:rsid w:val="78C739BC"/>
    <w:rsid w:val="7ABD34A3"/>
    <w:rsid w:val="7B290AA3"/>
    <w:rsid w:val="7B2A2023"/>
    <w:rsid w:val="7C1A4147"/>
    <w:rsid w:val="7D060C3F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2453</Words>
  <Characters>2583</Characters>
  <Lines>34</Lines>
  <Paragraphs>9</Paragraphs>
  <TotalTime>33</TotalTime>
  <ScaleCrop>false</ScaleCrop>
  <LinksUpToDate>false</LinksUpToDate>
  <CharactersWithSpaces>2584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y</cp:lastModifiedBy>
  <dcterms:modified xsi:type="dcterms:W3CDTF">2025-05-25T12:32:12Z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eyJoZGlkIjoiYTY2ZTBkZjNhODZjYzA5YWVhOTgyZWQ3NzlhNTFlNzAiLCJ1c2VySWQiOiI2Mzc0MTYwOTgifQ==</vt:lpwstr>
  </property>
</Properties>
</file>