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4D5E32">
      <w:pPr>
        <w:spacing w:line="520" w:lineRule="exact"/>
        <w:ind w:firstLine="561"/>
        <w:rPr>
          <w:rFonts w:hint="eastAsia" w:ascii="楷体_GB2312" w:hAnsi="楷体_GB2312" w:eastAsia="楷体_GB2312" w:cs="楷体_GB2312"/>
          <w:color w:val="000000" w:themeColor="text1"/>
          <w:sz w:val="28"/>
          <w:szCs w:val="28"/>
          <w:highlight w:val="none"/>
          <w14:textFill>
            <w14:solidFill>
              <w14:schemeClr w14:val="tx1"/>
            </w14:solidFill>
          </w14:textFill>
        </w:rPr>
      </w:pPr>
      <w:bookmarkStart w:id="0" w:name="_GoBack"/>
      <w:r>
        <w:rPr>
          <w:rFonts w:hint="eastAsia" w:ascii="楷体_GB2312" w:hAnsi="楷体_GB2312" w:eastAsia="楷体_GB2312" w:cs="楷体_GB2312"/>
          <w:color w:val="000000" w:themeColor="text1"/>
          <w:sz w:val="28"/>
          <w:szCs w:val="28"/>
          <w:highlight w:val="none"/>
          <w14:textFill>
            <w14:solidFill>
              <w14:schemeClr w14:val="tx1"/>
            </w14:solidFill>
          </w14:textFill>
        </w:rPr>
        <w:t>本实用新型涉及</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防气蚀</w:t>
      </w:r>
      <w:r>
        <w:rPr>
          <w:rFonts w:hint="eastAsia" w:ascii="楷体_GB2312" w:hAnsi="楷体_GB2312" w:eastAsia="楷体_GB2312" w:cs="楷体_GB2312"/>
          <w:color w:val="000000" w:themeColor="text1"/>
          <w:sz w:val="28"/>
          <w:szCs w:val="28"/>
          <w:highlight w:val="none"/>
          <w14:textFill>
            <w14:solidFill>
              <w14:schemeClr w14:val="tx1"/>
            </w14:solidFill>
          </w14:textFill>
        </w:rPr>
        <w:t>技术领域，具体为一种甲醇进料系统的防气蚀缓冲装置，包括缓冲罐，所述缓冲罐的外侧壁连通有进液口，所述缓冲罐的底部连通有出液口，所述缓冲罐的内侧壁固定连接有三个缓冲隔板，所述缓冲隔板呈倾斜状分布，且相邻两个所述缓冲隔板的倾斜方向相反，每个所述缓冲隔板上均开设有多个均匀分布的缓冲孔，所述缓冲孔的直径从靠近进液口的一侧向靠近所述出液口的一侧逐渐减小</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r>
        <w:rPr>
          <w:rFonts w:hint="eastAsia" w:ascii="楷体_GB2312" w:hAnsi="楷体_GB2312" w:eastAsia="楷体_GB2312" w:cs="楷体_GB2312"/>
          <w:color w:val="000000" w:themeColor="text1"/>
          <w:sz w:val="28"/>
          <w:szCs w:val="28"/>
          <w:highlight w:val="none"/>
          <w14:textFill>
            <w14:solidFill>
              <w14:schemeClr w14:val="tx1"/>
            </w14:solidFill>
          </w14:textFill>
        </w:rPr>
        <w:t>本实用新型三层交替倾斜的缓冲隔板与渐变直径缓冲孔的组合设计，能通过多级节流与流场优化，将甲醇流速降低%以上，显著减少因湍流产生的气泡；S型分离叶片则可高效分离已产生的气泡，配合顶部泄压系统，从源头切断气蚀发生的条件</w:t>
      </w:r>
      <w:r>
        <w:rPr>
          <w:rFonts w:hint="eastAsia" w:ascii="楷体_GB2312" w:hAnsi="楷体_GB2312" w:eastAsia="楷体_GB2312" w:cs="楷体_GB2312"/>
          <w:color w:val="000000" w:themeColor="text1"/>
          <w:sz w:val="28"/>
          <w:szCs w:val="28"/>
          <w:highlight w:val="none"/>
          <w14:textFill>
            <w14:solidFill>
              <w14:schemeClr w14:val="tx1"/>
            </w14:solidFill>
          </w14:textFill>
        </w:rPr>
        <w:t>。</w:t>
      </w:r>
    </w:p>
    <w:p w14:paraId="16BE4B2D">
      <w:pPr>
        <w:ind w:firstLine="560"/>
        <w:rPr>
          <w:rFonts w:hint="eastAsia" w:ascii="楷体_GB2312" w:hAnsi="楷体_GB2312" w:eastAsia="楷体_GB2312" w:cs="楷体_GB2312"/>
          <w:color w:val="000000" w:themeColor="text1"/>
          <w:sz w:val="28"/>
          <w:szCs w:val="28"/>
          <w:highlight w:val="none"/>
          <w14:textFill>
            <w14:solidFill>
              <w14:schemeClr w14:val="tx1"/>
            </w14:solidFill>
          </w14:textFill>
        </w:rPr>
        <w:sectPr>
          <w:headerReference r:id="rId3" w:type="default"/>
          <w:footerReference r:id="rId4" w:type="default"/>
          <w:pgSz w:w="11906" w:h="16838"/>
          <w:pgMar w:top="1418" w:right="851" w:bottom="851" w:left="1418" w:header="624" w:footer="227" w:gutter="0"/>
          <w:cols w:space="425" w:num="1"/>
          <w:docGrid w:type="lines" w:linePitch="312" w:charSpace="0"/>
        </w:sectPr>
      </w:pPr>
    </w:p>
    <w:p w14:paraId="63D6456E">
      <w:pPr>
        <w:jc w:val="both"/>
        <w:rPr>
          <w:rFonts w:hint="eastAsia" w:ascii="楷体_GB2312" w:hAnsi="楷体_GB2312" w:eastAsia="楷体_GB2312" w:cs="楷体_GB2312"/>
          <w:color w:val="000000" w:themeColor="text1"/>
          <w:highlight w:val="none"/>
          <w14:textFill>
            <w14:solidFill>
              <w14:schemeClr w14:val="tx1"/>
            </w14:solidFill>
          </w14:textFill>
        </w:rPr>
        <w:sectPr>
          <w:headerReference r:id="rId5" w:type="default"/>
          <w:footerReference r:id="rId6" w:type="default"/>
          <w:pgSz w:w="11906" w:h="16838"/>
          <w:pgMar w:top="1418" w:right="851" w:bottom="851" w:left="1418" w:header="624" w:footer="227" w:gutter="0"/>
          <w:cols w:space="425" w:num="1"/>
          <w:docGrid w:type="lines" w:linePitch="312" w:charSpace="0"/>
        </w:sectPr>
      </w:pPr>
      <w:r>
        <w:rPr>
          <w:color w:val="000000" w:themeColor="text1"/>
          <w14:textFill>
            <w14:solidFill>
              <w14:schemeClr w14:val="tx1"/>
            </w14:solidFill>
          </w14:textFill>
        </w:rPr>
        <w:drawing>
          <wp:inline distT="0" distB="0" distL="114300" distR="114300">
            <wp:extent cx="6115685" cy="5109845"/>
            <wp:effectExtent l="0" t="0" r="18415" b="14605"/>
            <wp:docPr id="1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2"/>
                    <pic:cNvPicPr>
                      <a:picLocks noChangeAspect="1"/>
                    </pic:cNvPicPr>
                  </pic:nvPicPr>
                  <pic:blipFill>
                    <a:blip r:embed="rId14"/>
                    <a:stretch>
                      <a:fillRect/>
                    </a:stretch>
                  </pic:blipFill>
                  <pic:spPr>
                    <a:xfrm>
                      <a:off x="0" y="0"/>
                      <a:ext cx="6115685" cy="5109845"/>
                    </a:xfrm>
                    <a:prstGeom prst="rect">
                      <a:avLst/>
                    </a:prstGeom>
                    <a:noFill/>
                    <a:ln>
                      <a:noFill/>
                    </a:ln>
                  </pic:spPr>
                </pic:pic>
              </a:graphicData>
            </a:graphic>
          </wp:inline>
        </w:drawing>
      </w:r>
    </w:p>
    <w:p w14:paraId="27E34791">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1.一种甲醇进料系统的防气蚀缓冲装置，其特征在于：包括缓冲罐（1），所述缓冲罐（1）的外侧壁连通有进液口（3），所述缓冲罐（1）的底部连通有出液口（2），所述缓冲罐（1）的内侧壁固定连接有三个缓冲隔板（9），所述缓冲隔板（9）呈倾斜状分布，且相邻两个所述缓冲隔板（9）的倾斜方向相反，每个所述缓冲隔板（9）上均开设有多个均匀分布的缓冲孔，所述缓冲孔的直径从靠近进液口（3）的一侧向靠近所述出液口（2）的一侧逐渐减小。</w:t>
      </w:r>
    </w:p>
    <w:p w14:paraId="2DD5B504">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2.根据权利要求1所述的一种甲醇进料系统的防气蚀缓冲装置，其特征在于：所述缓冲罐（1）的内侧壁安装有S型分离叶片（8）。</w:t>
      </w:r>
    </w:p>
    <w:p w14:paraId="109BE878">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3.根据权利要求1所述的一种甲醇进料系统的防气蚀缓冲装置，其特征在于：所述缓冲罐（1）的内部顶壁安装有压力传感器（7），所述缓冲罐（1）的顶部安装有气压表（4）。</w:t>
      </w:r>
    </w:p>
    <w:p w14:paraId="4A043475">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4.根据权利要求1所述的一种甲醇进料系统的防气蚀缓冲装置，其特征在于：所述缓冲罐（1）的顶部连通有泄压管（5），所述泄压管（5）上安装有电磁阀（6）。</w:t>
      </w:r>
    </w:p>
    <w:p w14:paraId="7550FEBA">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sectPr>
          <w:headerReference r:id="rId7" w:type="default"/>
          <w:footerReference r:id="rId8" w:type="default"/>
          <w:pgSz w:w="11906" w:h="16838"/>
          <w:pgMar w:top="1418" w:right="851" w:bottom="851" w:left="1418" w:header="624" w:footer="227" w:gutter="0"/>
          <w:pgNumType w:start="1"/>
          <w:cols w:space="425" w:num="1"/>
          <w:docGrid w:type="lines" w:linePitch="312" w:charSpace="0"/>
        </w:sectPr>
      </w:pPr>
    </w:p>
    <w:p w14:paraId="382AFF59">
      <w:pPr>
        <w:spacing w:before="468" w:beforeLines="150" w:after="468" w:afterLines="150"/>
        <w:jc w:val="center"/>
        <w:rPr>
          <w:rFonts w:hint="eastAsia" w:ascii="楷体_GB2312" w:hAnsi="楷体_GB2312" w:eastAsia="楷体_GB2312" w:cs="楷体_GB2312"/>
          <w:b/>
          <w:color w:val="000000" w:themeColor="text1"/>
          <w:sz w:val="32"/>
          <w:szCs w:val="32"/>
          <w:highlight w:val="none"/>
          <w:lang w:eastAsia="zh-CN"/>
          <w14:textFill>
            <w14:solidFill>
              <w14:schemeClr w14:val="tx1"/>
            </w14:solidFill>
          </w14:textFill>
        </w:rPr>
      </w:pPr>
      <w:r>
        <w:rPr>
          <w:rFonts w:hint="eastAsia" w:ascii="楷体_GB2312" w:hAnsi="楷体_GB2312" w:eastAsia="楷体_GB2312" w:cs="楷体_GB2312"/>
          <w:b/>
          <w:color w:val="000000" w:themeColor="text1"/>
          <w:sz w:val="32"/>
          <w:szCs w:val="32"/>
          <w:highlight w:val="none"/>
          <w:lang w:eastAsia="zh-CN"/>
          <w14:textFill>
            <w14:solidFill>
              <w14:schemeClr w14:val="tx1"/>
            </w14:solidFill>
          </w14:textFill>
        </w:rPr>
        <w:t>一种甲醇进料系统的防气蚀缓冲装置</w:t>
      </w:r>
    </w:p>
    <w:p w14:paraId="79FC93C3">
      <w:pPr>
        <w:pStyle w:val="2"/>
        <w:spacing w:before="468" w:beforeLines="150" w:after="156" w:afterLines="50" w:line="240" w:lineRule="auto"/>
        <w:rPr>
          <w:rFonts w:hint="eastAsia" w:ascii="楷体_GB2312" w:hAnsi="楷体_GB2312" w:eastAsia="楷体_GB2312" w:cs="楷体_GB2312"/>
          <w:color w:val="000000" w:themeColor="text1"/>
          <w:w w:val="100"/>
          <w:szCs w:val="28"/>
          <w:highlight w:val="none"/>
          <w14:textFill>
            <w14:solidFill>
              <w14:schemeClr w14:val="tx1"/>
            </w14:solidFill>
          </w14:textFill>
        </w:rPr>
      </w:pPr>
      <w:r>
        <w:rPr>
          <w:rFonts w:hint="eastAsia" w:ascii="楷体_GB2312" w:hAnsi="楷体_GB2312" w:eastAsia="楷体_GB2312" w:cs="楷体_GB2312"/>
          <w:color w:val="000000" w:themeColor="text1"/>
          <w:w w:val="100"/>
          <w:szCs w:val="28"/>
          <w:highlight w:val="none"/>
          <w14:textFill>
            <w14:solidFill>
              <w14:schemeClr w14:val="tx1"/>
            </w14:solidFill>
          </w14:textFill>
        </w:rPr>
        <w:t>技术领域</w:t>
      </w:r>
    </w:p>
    <w:p w14:paraId="670313F7">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本实用新型涉及</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防气蚀</w:t>
      </w:r>
      <w:r>
        <w:rPr>
          <w:rFonts w:hint="eastAsia" w:ascii="楷体_GB2312" w:hAnsi="楷体_GB2312" w:eastAsia="楷体_GB2312" w:cs="楷体_GB2312"/>
          <w:color w:val="000000" w:themeColor="text1"/>
          <w:sz w:val="28"/>
          <w:szCs w:val="28"/>
          <w:highlight w:val="none"/>
          <w14:textFill>
            <w14:solidFill>
              <w14:schemeClr w14:val="tx1"/>
            </w14:solidFill>
          </w14:textFill>
        </w:rPr>
        <w:t>技术领域，具体为</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一种甲醇进料系统的防气蚀缓冲装置</w:t>
      </w:r>
      <w:r>
        <w:rPr>
          <w:rFonts w:hint="eastAsia" w:ascii="楷体_GB2312" w:hAnsi="楷体_GB2312" w:eastAsia="楷体_GB2312" w:cs="楷体_GB2312"/>
          <w:color w:val="000000" w:themeColor="text1"/>
          <w:sz w:val="28"/>
          <w:szCs w:val="28"/>
          <w:highlight w:val="none"/>
          <w14:textFill>
            <w14:solidFill>
              <w14:schemeClr w14:val="tx1"/>
            </w14:solidFill>
          </w14:textFill>
        </w:rPr>
        <w:t>。</w:t>
      </w:r>
    </w:p>
    <w:p w14:paraId="335A2C81">
      <w:pPr>
        <w:pStyle w:val="2"/>
        <w:spacing w:before="468" w:beforeLines="150" w:after="156" w:afterLines="50" w:line="240" w:lineRule="auto"/>
        <w:rPr>
          <w:rFonts w:hint="eastAsia" w:ascii="楷体_GB2312" w:hAnsi="楷体_GB2312" w:eastAsia="楷体_GB2312" w:cs="楷体_GB2312"/>
          <w:color w:val="000000" w:themeColor="text1"/>
          <w:w w:val="100"/>
          <w:szCs w:val="28"/>
          <w:highlight w:val="none"/>
          <w14:textFill>
            <w14:solidFill>
              <w14:schemeClr w14:val="tx1"/>
            </w14:solidFill>
          </w14:textFill>
        </w:rPr>
      </w:pPr>
      <w:r>
        <w:rPr>
          <w:rFonts w:hint="eastAsia" w:ascii="楷体_GB2312" w:hAnsi="楷体_GB2312" w:eastAsia="楷体_GB2312" w:cs="楷体_GB2312"/>
          <w:color w:val="000000" w:themeColor="text1"/>
          <w:w w:val="100"/>
          <w:szCs w:val="28"/>
          <w:highlight w:val="none"/>
          <w14:textFill>
            <w14:solidFill>
              <w14:schemeClr w14:val="tx1"/>
            </w14:solidFill>
          </w14:textFill>
        </w:rPr>
        <w:t>背景技术</w:t>
      </w:r>
    </w:p>
    <w:p w14:paraId="62DE7AD3">
      <w:pPr>
        <w:spacing w:line="520" w:lineRule="exact"/>
        <w:ind w:firstLine="561"/>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在甲醇进料系统的运行过程中，气蚀现象始终是威胁系统稳定与设备安全的关键问题。甲醇作为一种易挥发的液体，在输送时，因管道内流速的急剧变化、局部压力的大幅波动，极易在泵体入口及管道弯道等区域形成低压环境。当该区域压力低于甲醇当前温度下的饱和蒸汽压时，甲醇会迅速汽化产生大量气泡。这些气泡随液体流动至高压区域后，会瞬间破裂，产生强烈的水击力，持续冲击设备内壁，造成金属表面的疲劳损伤，表现为设备表面出现麻点、坑蚀，严重时甚至会导致管道或泵体破裂。​</w:t>
      </w:r>
    </w:p>
    <w:p w14:paraId="1753410D">
      <w:pPr>
        <w:spacing w:line="520" w:lineRule="exact"/>
        <w:ind w:firstLine="561"/>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长期以来，行业内采用的防气蚀手段存在明显局限。例如，通过增加前置泵提高入口压力的方式，不仅需额外投入设备成本，还会显著增加系统能耗；优化管道布局虽能减少局部阻力，但在复杂的工业管路系统中，受空间和工艺限制，难以从根本上消除压力突变点；选用高硬度耐蚀材料则会大幅提高设备制造成本，且无法阻止气蚀的源头——气泡的产生</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r>
        <w:rPr>
          <w:rFonts w:hint="eastAsia" w:ascii="楷体_GB2312" w:hAnsi="楷体_GB2312" w:eastAsia="楷体_GB2312" w:cs="楷体_GB2312"/>
          <w:color w:val="000000" w:themeColor="text1"/>
          <w:sz w:val="28"/>
          <w:szCs w:val="28"/>
          <w:highlight w:val="none"/>
          <w14:textFill>
            <w14:solidFill>
              <w14:schemeClr w14:val="tx1"/>
            </w14:solidFill>
          </w14:textFill>
        </w:rPr>
        <w:t>为此，提出</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一种甲醇进料系统的防气蚀缓冲装置</w:t>
      </w:r>
      <w:r>
        <w:rPr>
          <w:rFonts w:hint="eastAsia" w:ascii="楷体_GB2312" w:hAnsi="楷体_GB2312" w:eastAsia="楷体_GB2312" w:cs="楷体_GB2312"/>
          <w:color w:val="000000" w:themeColor="text1"/>
          <w:sz w:val="28"/>
          <w:szCs w:val="28"/>
          <w:highlight w:val="none"/>
          <w14:textFill>
            <w14:solidFill>
              <w14:schemeClr w14:val="tx1"/>
            </w14:solidFill>
          </w14:textFill>
        </w:rPr>
        <w:t>。</w:t>
      </w:r>
    </w:p>
    <w:p w14:paraId="6299BE0F">
      <w:pPr>
        <w:pStyle w:val="2"/>
        <w:spacing w:before="468" w:beforeLines="150" w:after="156" w:afterLines="50" w:line="240" w:lineRule="auto"/>
        <w:rPr>
          <w:rFonts w:hint="eastAsia" w:ascii="楷体_GB2312" w:hAnsi="楷体_GB2312" w:eastAsia="楷体_GB2312" w:cs="楷体_GB2312"/>
          <w:color w:val="000000" w:themeColor="text1"/>
          <w:w w:val="100"/>
          <w:szCs w:val="28"/>
          <w:highlight w:val="none"/>
          <w14:textFill>
            <w14:solidFill>
              <w14:schemeClr w14:val="tx1"/>
            </w14:solidFill>
          </w14:textFill>
        </w:rPr>
      </w:pPr>
      <w:r>
        <w:rPr>
          <w:rFonts w:hint="eastAsia" w:ascii="楷体_GB2312" w:hAnsi="楷体_GB2312" w:eastAsia="楷体_GB2312" w:cs="楷体_GB2312"/>
          <w:color w:val="000000" w:themeColor="text1"/>
          <w:w w:val="100"/>
          <w:szCs w:val="28"/>
          <w:highlight w:val="none"/>
          <w14:textFill>
            <w14:solidFill>
              <w14:schemeClr w14:val="tx1"/>
            </w14:solidFill>
          </w14:textFill>
        </w:rPr>
        <w:t>实用新型内容</w:t>
      </w:r>
    </w:p>
    <w:p w14:paraId="118597E6">
      <w:pPr>
        <w:spacing w:line="50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有鉴于此，本实用新型提供</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一种甲醇进料系统的防气蚀缓冲装置</w:t>
      </w:r>
      <w:r>
        <w:rPr>
          <w:rFonts w:hint="eastAsia" w:ascii="楷体_GB2312" w:hAnsi="楷体_GB2312" w:eastAsia="楷体_GB2312" w:cs="楷体_GB2312"/>
          <w:color w:val="000000" w:themeColor="text1"/>
          <w:sz w:val="28"/>
          <w:szCs w:val="28"/>
          <w:highlight w:val="none"/>
          <w14:textFill>
            <w14:solidFill>
              <w14:schemeClr w14:val="tx1"/>
            </w14:solidFill>
          </w14:textFill>
        </w:rPr>
        <w:t>，以解决或缓解现有技术中存在的技术问题，至少提供一种有益的选择。</w:t>
      </w:r>
    </w:p>
    <w:p w14:paraId="327CFE31">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本实用新型的技术方案是这样实现的：一种甲醇进料系统的防气蚀缓冲装置，包括缓冲罐，所述缓冲罐的外侧壁连通有进液口，所述缓冲罐的底部连通有出液口，所述缓冲罐的内侧壁固定连接有三个缓冲隔板，所述缓冲隔板呈倾斜状分布，且相邻两个所述缓冲隔板的倾斜方向相反，每个所述缓冲隔板上均开设有多个均匀分布的缓冲孔，所述缓冲孔的直径从靠近进液口的一侧向靠近所述出液口的一侧逐渐减小。</w:t>
      </w:r>
    </w:p>
    <w:p w14:paraId="06795F37">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进一步优选的，</w:t>
      </w:r>
      <w:r>
        <w:rPr>
          <w:rFonts w:hint="eastAsia" w:ascii="楷体_GB2312" w:hAnsi="楷体_GB2312" w:eastAsia="楷体_GB2312" w:cs="楷体_GB2312"/>
          <w:color w:val="000000" w:themeColor="text1"/>
          <w:sz w:val="28"/>
          <w:szCs w:val="28"/>
          <w:highlight w:val="none"/>
          <w14:textFill>
            <w14:solidFill>
              <w14:schemeClr w14:val="tx1"/>
            </w14:solidFill>
          </w14:textFill>
        </w:rPr>
        <w:t>所述缓冲罐的内侧壁安装有S型分离叶片。</w:t>
      </w:r>
    </w:p>
    <w:p w14:paraId="6B9CADBC">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进一步优选的，</w:t>
      </w:r>
      <w:r>
        <w:rPr>
          <w:rFonts w:hint="eastAsia" w:ascii="楷体_GB2312" w:hAnsi="楷体_GB2312" w:eastAsia="楷体_GB2312" w:cs="楷体_GB2312"/>
          <w:color w:val="000000" w:themeColor="text1"/>
          <w:sz w:val="28"/>
          <w:szCs w:val="28"/>
          <w:highlight w:val="none"/>
          <w14:textFill>
            <w14:solidFill>
              <w14:schemeClr w14:val="tx1"/>
            </w14:solidFill>
          </w14:textFill>
        </w:rPr>
        <w:t>所述缓冲罐的内部顶壁安装有压力传感器，所述缓冲罐的顶部安装有气压表。</w:t>
      </w:r>
    </w:p>
    <w:p w14:paraId="054F5C08">
      <w:pPr>
        <w:spacing w:line="520" w:lineRule="exact"/>
        <w:ind w:firstLine="560" w:firstLineChars="200"/>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进一步优选的，</w:t>
      </w:r>
      <w:r>
        <w:rPr>
          <w:rFonts w:hint="eastAsia" w:ascii="楷体_GB2312" w:hAnsi="楷体_GB2312" w:eastAsia="楷体_GB2312" w:cs="楷体_GB2312"/>
          <w:color w:val="000000" w:themeColor="text1"/>
          <w:sz w:val="28"/>
          <w:szCs w:val="28"/>
          <w:highlight w:val="none"/>
          <w14:textFill>
            <w14:solidFill>
              <w14:schemeClr w14:val="tx1"/>
            </w14:solidFill>
          </w14:textFill>
        </w:rPr>
        <w:t>所述缓冲罐的顶部连通有泄压管，所述泄压管上安装有电磁阀</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w:t>
      </w:r>
    </w:p>
    <w:p w14:paraId="15433755">
      <w:pPr>
        <w:spacing w:line="50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本实用新型实施例由于采用以上技术方案，其具有以下优点：</w:t>
      </w:r>
    </w:p>
    <w:p w14:paraId="509940DA">
      <w:pPr>
        <w:spacing w:line="50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本实用新型三层交替倾斜的缓冲隔板与渐变直径缓冲孔的组合设计，能通过多级节流与流场优化，将甲醇流速降低%以上，显著减少因湍流产生的气泡；S型分离叶片则可高效分离已产生的气泡，配合顶部泄压系统，从源头切断气蚀发生的条件</w:t>
      </w:r>
      <w:r>
        <w:rPr>
          <w:rFonts w:hint="eastAsia" w:ascii="楷体_GB2312" w:hAnsi="楷体_GB2312" w:eastAsia="楷体_GB2312" w:cs="楷体_GB2312"/>
          <w:color w:val="000000" w:themeColor="text1"/>
          <w:sz w:val="28"/>
          <w:szCs w:val="28"/>
          <w:highlight w:val="none"/>
          <w14:textFill>
            <w14:solidFill>
              <w14:schemeClr w14:val="tx1"/>
            </w14:solidFill>
          </w14:textFill>
        </w:rPr>
        <w:t>。</w:t>
      </w:r>
    </w:p>
    <w:p w14:paraId="733B1DB5">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上述概述仅仅是为了说明书的目的，并不意图以任何方式进行限制。除上述描述的示意性的方面、实施方式和特征之外，通过参考附图和以下的详细描述，本实用新型进一步的方面、实施方式和特征将会是容易明白的。</w:t>
      </w:r>
    </w:p>
    <w:p w14:paraId="3AEE2958">
      <w:pPr>
        <w:pStyle w:val="2"/>
        <w:spacing w:before="468" w:beforeLines="150" w:after="156" w:afterLines="50" w:line="240" w:lineRule="auto"/>
        <w:rPr>
          <w:rFonts w:hint="eastAsia" w:ascii="楷体_GB2312" w:hAnsi="楷体_GB2312" w:eastAsia="楷体_GB2312" w:cs="楷体_GB2312"/>
          <w:color w:val="000000" w:themeColor="text1"/>
          <w:w w:val="100"/>
          <w:szCs w:val="28"/>
          <w:highlight w:val="none"/>
          <w14:textFill>
            <w14:solidFill>
              <w14:schemeClr w14:val="tx1"/>
            </w14:solidFill>
          </w14:textFill>
        </w:rPr>
      </w:pPr>
      <w:r>
        <w:rPr>
          <w:rFonts w:hint="eastAsia" w:ascii="楷体_GB2312" w:hAnsi="楷体_GB2312" w:eastAsia="楷体_GB2312" w:cs="楷体_GB2312"/>
          <w:color w:val="000000" w:themeColor="text1"/>
          <w:w w:val="100"/>
          <w:szCs w:val="28"/>
          <w:highlight w:val="none"/>
          <w14:textFill>
            <w14:solidFill>
              <w14:schemeClr w14:val="tx1"/>
            </w14:solidFill>
          </w14:textFill>
        </w:rPr>
        <w:t>附图说明</w:t>
      </w:r>
    </w:p>
    <w:p w14:paraId="2E434CB1">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为了更清楚地说明本申请实施例或现有技术中的技术方案，下面将对实施例或</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现</w:t>
      </w:r>
      <w:r>
        <w:rPr>
          <w:rFonts w:hint="eastAsia" w:ascii="楷体_GB2312" w:hAnsi="楷体_GB2312" w:eastAsia="楷体_GB2312" w:cs="楷体_GB2312"/>
          <w:color w:val="000000" w:themeColor="text1"/>
          <w:sz w:val="28"/>
          <w:szCs w:val="28"/>
          <w:highlight w:val="none"/>
          <w14:textFill>
            <w14:solidFill>
              <w14:schemeClr w14:val="tx1"/>
            </w14:solidFill>
          </w14:textFill>
        </w:rPr>
        <w:t>有技术描述中所需要使用的附图作简单地介绍，显而易见地，下面描述中的附图仅仅是本申请的一些实施例，对于本领域普通技术人员来讲，在不付出创造性劳动的前提下，还可以根据这些附图获得其他的附图。</w:t>
      </w:r>
    </w:p>
    <w:p w14:paraId="710C973D">
      <w:pPr>
        <w:spacing w:line="520" w:lineRule="exact"/>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图1为本实用新型的结构图；</w:t>
      </w:r>
    </w:p>
    <w:p w14:paraId="509517FE">
      <w:pPr>
        <w:spacing w:line="520" w:lineRule="exact"/>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图2为本实用新型的</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剖面</w:t>
      </w:r>
      <w:r>
        <w:rPr>
          <w:rFonts w:hint="eastAsia" w:ascii="楷体_GB2312" w:hAnsi="楷体_GB2312" w:eastAsia="楷体_GB2312" w:cs="楷体_GB2312"/>
          <w:color w:val="000000" w:themeColor="text1"/>
          <w:sz w:val="28"/>
          <w:szCs w:val="28"/>
          <w:highlight w:val="none"/>
          <w14:textFill>
            <w14:solidFill>
              <w14:schemeClr w14:val="tx1"/>
            </w14:solidFill>
          </w14:textFill>
        </w:rPr>
        <w:t>结构图。</w:t>
      </w:r>
    </w:p>
    <w:p w14:paraId="505F862D">
      <w:pPr>
        <w:spacing w:line="520" w:lineRule="exact"/>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附图标记：</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1、缓冲罐；2、出液口；3、进液口；4、气压表；5、泄压管；6、电磁阀；7、压力传感器；8、S型分离叶片；9、缓冲隔板</w:t>
      </w:r>
      <w:r>
        <w:rPr>
          <w:rFonts w:hint="eastAsia" w:ascii="楷体_GB2312" w:hAnsi="楷体_GB2312" w:eastAsia="楷体_GB2312" w:cs="楷体_GB2312"/>
          <w:color w:val="000000" w:themeColor="text1"/>
          <w:sz w:val="28"/>
          <w:szCs w:val="28"/>
          <w:highlight w:val="none"/>
          <w14:textFill>
            <w14:solidFill>
              <w14:schemeClr w14:val="tx1"/>
            </w14:solidFill>
          </w14:textFill>
        </w:rPr>
        <w:t>。</w:t>
      </w:r>
    </w:p>
    <w:p w14:paraId="2D1D2518">
      <w:pPr>
        <w:pStyle w:val="2"/>
        <w:spacing w:before="468" w:beforeLines="150" w:after="156" w:afterLines="50" w:line="240" w:lineRule="auto"/>
        <w:rPr>
          <w:rFonts w:hint="eastAsia" w:ascii="楷体_GB2312" w:hAnsi="楷体_GB2312" w:eastAsia="楷体_GB2312" w:cs="楷体_GB2312"/>
          <w:color w:val="000000" w:themeColor="text1"/>
          <w:w w:val="100"/>
          <w:szCs w:val="28"/>
          <w:highlight w:val="none"/>
          <w14:textFill>
            <w14:solidFill>
              <w14:schemeClr w14:val="tx1"/>
            </w14:solidFill>
          </w14:textFill>
        </w:rPr>
      </w:pPr>
      <w:r>
        <w:rPr>
          <w:rFonts w:hint="eastAsia" w:ascii="楷体_GB2312" w:hAnsi="楷体_GB2312" w:eastAsia="楷体_GB2312" w:cs="楷体_GB2312"/>
          <w:color w:val="000000" w:themeColor="text1"/>
          <w:w w:val="100"/>
          <w:szCs w:val="28"/>
          <w:highlight w:val="none"/>
          <w14:textFill>
            <w14:solidFill>
              <w14:schemeClr w14:val="tx1"/>
            </w14:solidFill>
          </w14:textFill>
        </w:rPr>
        <w:t>具体实施方式</w:t>
      </w:r>
    </w:p>
    <w:p w14:paraId="16823B20">
      <w:pPr>
        <w:pStyle w:val="4"/>
        <w:spacing w:line="520" w:lineRule="exact"/>
        <w:ind w:left="0"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在下文中，仅简单地描述了某些示例性实施例。正如本领域技术人员可认识到的那样，在不脱离本实用新型的精神或范围的情况下，可通过各种不同方式修改所描述的实施例。因此，附图和描述被认为本质上是示例性的而非限制性的。</w:t>
      </w:r>
    </w:p>
    <w:p w14:paraId="376445C4">
      <w:pPr>
        <w:pStyle w:val="4"/>
        <w:spacing w:line="520" w:lineRule="exact"/>
        <w:ind w:left="0"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下面结合附图对本实用新型的实施例进行详细说明。</w:t>
      </w:r>
    </w:p>
    <w:p w14:paraId="2529F97F">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如图1-</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2</w:t>
      </w:r>
      <w:r>
        <w:rPr>
          <w:rFonts w:hint="eastAsia" w:ascii="楷体_GB2312" w:hAnsi="楷体_GB2312" w:eastAsia="楷体_GB2312" w:cs="楷体_GB2312"/>
          <w:color w:val="000000" w:themeColor="text1"/>
          <w:sz w:val="28"/>
          <w:szCs w:val="28"/>
          <w:highlight w:val="none"/>
          <w14:textFill>
            <w14:solidFill>
              <w14:schemeClr w14:val="tx1"/>
            </w14:solidFill>
          </w14:textFill>
        </w:rPr>
        <w:t>所示，本实用新型实施例提供了一种甲醇进料系统的防气蚀缓冲装置，包括缓冲罐1，缓冲罐1的外侧壁连通有进液口3，缓冲罐1的底部连通有出液口2，缓冲罐1的内侧壁固定连接有三个缓冲隔板9，缓冲隔板9呈倾斜状分布，且相邻两个缓冲隔板9的倾斜方向相反，每个缓冲隔板9上均开设有多个均匀分布的缓冲孔，缓冲孔的直径从靠近进液口3的一侧向靠近出液口2的一侧逐渐减小。</w:t>
      </w:r>
    </w:p>
    <w:p w14:paraId="01E50ABD">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在一个实施例中，</w:t>
      </w:r>
      <w:r>
        <w:rPr>
          <w:rFonts w:hint="eastAsia" w:ascii="楷体_GB2312" w:hAnsi="楷体_GB2312" w:eastAsia="楷体_GB2312" w:cs="楷体_GB2312"/>
          <w:color w:val="000000" w:themeColor="text1"/>
          <w:sz w:val="28"/>
          <w:szCs w:val="28"/>
          <w:highlight w:val="none"/>
          <w14:textFill>
            <w14:solidFill>
              <w14:schemeClr w14:val="tx1"/>
            </w14:solidFill>
          </w14:textFill>
        </w:rPr>
        <w:t>缓冲罐1的内侧壁安装有S型分离叶片8</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；S型叶片的曲折结构延长了气液混合体的流动路径，利用气体与液体的密度差，使气泡在浮力作用下逐渐聚集并上升，而液体则沿叶片表面流下，实现气液分离</w:t>
      </w:r>
      <w:r>
        <w:rPr>
          <w:rFonts w:hint="eastAsia" w:ascii="楷体_GB2312" w:hAnsi="楷体_GB2312" w:eastAsia="楷体_GB2312" w:cs="楷体_GB2312"/>
          <w:color w:val="000000" w:themeColor="text1"/>
          <w:sz w:val="28"/>
          <w:szCs w:val="28"/>
          <w:highlight w:val="none"/>
          <w14:textFill>
            <w14:solidFill>
              <w14:schemeClr w14:val="tx1"/>
            </w14:solidFill>
          </w14:textFill>
        </w:rPr>
        <w:t>。</w:t>
      </w:r>
    </w:p>
    <w:p w14:paraId="222FF6C3">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在一个实施例中，</w:t>
      </w:r>
      <w:r>
        <w:rPr>
          <w:rFonts w:hint="eastAsia" w:ascii="楷体_GB2312" w:hAnsi="楷体_GB2312" w:eastAsia="楷体_GB2312" w:cs="楷体_GB2312"/>
          <w:color w:val="000000" w:themeColor="text1"/>
          <w:sz w:val="28"/>
          <w:szCs w:val="28"/>
          <w:highlight w:val="none"/>
          <w14:textFill>
            <w14:solidFill>
              <w14:schemeClr w14:val="tx1"/>
            </w14:solidFill>
          </w14:textFill>
        </w:rPr>
        <w:t>缓冲罐1的内部顶壁安装有压力传感器7，缓冲罐1的顶部安装有气压表4</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；压力传感器7实时监测罐内气压</w:t>
      </w:r>
      <w:r>
        <w:rPr>
          <w:rFonts w:hint="eastAsia" w:ascii="楷体_GB2312" w:hAnsi="楷体_GB2312" w:eastAsia="楷体_GB2312" w:cs="楷体_GB2312"/>
          <w:color w:val="000000" w:themeColor="text1"/>
          <w:sz w:val="28"/>
          <w:szCs w:val="28"/>
          <w:highlight w:val="none"/>
          <w14:textFill>
            <w14:solidFill>
              <w14:schemeClr w14:val="tx1"/>
            </w14:solidFill>
          </w14:textFill>
        </w:rPr>
        <w:t>。</w:t>
      </w:r>
    </w:p>
    <w:p w14:paraId="78ADA2D2">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在一个实施例中，</w:t>
      </w:r>
      <w:r>
        <w:rPr>
          <w:rFonts w:hint="eastAsia" w:ascii="楷体_GB2312" w:hAnsi="楷体_GB2312" w:eastAsia="楷体_GB2312" w:cs="楷体_GB2312"/>
          <w:color w:val="000000" w:themeColor="text1"/>
          <w:sz w:val="28"/>
          <w:szCs w:val="28"/>
          <w:highlight w:val="none"/>
          <w14:textFill>
            <w14:solidFill>
              <w14:schemeClr w14:val="tx1"/>
            </w14:solidFill>
          </w14:textFill>
        </w:rPr>
        <w:t>缓冲罐1的顶部连通有泄压管5，泄压管5上安装有电磁阀6</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r>
        <w:rPr>
          <w:rFonts w:hint="eastAsia" w:ascii="楷体_GB2312" w:hAnsi="楷体_GB2312" w:eastAsia="楷体_GB2312" w:cs="楷体_GB2312"/>
          <w:color w:val="000000" w:themeColor="text1"/>
          <w:sz w:val="28"/>
          <w:szCs w:val="28"/>
          <w:highlight w:val="none"/>
          <w14:textFill>
            <w14:solidFill>
              <w14:schemeClr w14:val="tx1"/>
            </w14:solidFill>
          </w14:textFill>
        </w:rPr>
        <w:t>当压力超过设定阈值时，控制系统触发电磁阀6打开，通过泄压管5排出多余气体</w:t>
      </w:r>
      <w:r>
        <w:rPr>
          <w:rFonts w:hint="eastAsia" w:ascii="楷体_GB2312" w:hAnsi="楷体_GB2312" w:eastAsia="楷体_GB2312" w:cs="楷体_GB2312"/>
          <w:color w:val="000000" w:themeColor="text1"/>
          <w:sz w:val="28"/>
          <w:szCs w:val="28"/>
          <w:lang w:val="en-US" w:eastAsia="zh-CN"/>
          <w14:textFill>
            <w14:solidFill>
              <w14:schemeClr w14:val="tx1"/>
            </w14:solidFill>
          </w14:textFill>
        </w:rPr>
        <w:t>。</w:t>
      </w:r>
    </w:p>
    <w:p w14:paraId="18767ABD">
      <w:pPr>
        <w:spacing w:line="50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本实用新型在工作时：开启进料阀门，甲醇通过进液口3进入缓冲罐1内部</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r>
        <w:rPr>
          <w:rFonts w:hint="eastAsia" w:ascii="楷体_GB2312" w:hAnsi="楷体_GB2312" w:eastAsia="楷体_GB2312" w:cs="楷体_GB2312"/>
          <w:color w:val="000000" w:themeColor="text1"/>
          <w:sz w:val="28"/>
          <w:szCs w:val="28"/>
          <w:highlight w:val="none"/>
          <w14:textFill>
            <w14:solidFill>
              <w14:schemeClr w14:val="tx1"/>
            </w14:solidFill>
          </w14:textFill>
        </w:rPr>
        <w:t>由于缓冲罐1内侧壁固定有三个倾斜方向交替的缓冲隔板9，甲醇首先冲击第一层缓冲隔板</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9</w:t>
      </w:r>
      <w:r>
        <w:rPr>
          <w:rFonts w:hint="eastAsia" w:ascii="楷体_GB2312" w:hAnsi="楷体_GB2312" w:eastAsia="楷体_GB2312" w:cs="楷体_GB2312"/>
          <w:color w:val="000000" w:themeColor="text1"/>
          <w:sz w:val="28"/>
          <w:szCs w:val="28"/>
          <w:highlight w:val="none"/>
          <w14:textFill>
            <w14:solidFill>
              <w14:schemeClr w14:val="tx1"/>
            </w14:solidFill>
          </w14:textFill>
        </w:rPr>
        <w:t>，在倾斜板面的导向作用下改变流动方向，同时通过板面上直径渐变的缓冲孔（从进液口侧到出液口侧逐渐减小）实现初步减压</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r>
        <w:rPr>
          <w:rFonts w:hint="eastAsia" w:ascii="楷体_GB2312" w:hAnsi="楷体_GB2312" w:eastAsia="楷体_GB2312" w:cs="楷体_GB2312"/>
          <w:color w:val="000000" w:themeColor="text1"/>
          <w:sz w:val="28"/>
          <w:szCs w:val="28"/>
          <w:highlight w:val="none"/>
          <w14:textFill>
            <w14:solidFill>
              <w14:schemeClr w14:val="tx1"/>
            </w14:solidFill>
          </w14:textFill>
        </w:rPr>
        <w:t>随后，甲醇依次流经另外两层缓冲隔板</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9</w:t>
      </w:r>
      <w:r>
        <w:rPr>
          <w:rFonts w:hint="eastAsia" w:ascii="楷体_GB2312" w:hAnsi="楷体_GB2312" w:eastAsia="楷体_GB2312" w:cs="楷体_GB2312"/>
          <w:color w:val="000000" w:themeColor="text1"/>
          <w:sz w:val="28"/>
          <w:szCs w:val="28"/>
          <w:highlight w:val="none"/>
          <w14:textFill>
            <w14:solidFill>
              <w14:schemeClr w14:val="tx1"/>
            </w14:solidFill>
          </w14:textFill>
        </w:rPr>
        <w:t>，在多层拦截与节流作用下，流速逐步降低，压力分布趋于均匀，减少因湍流产生的气泡</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r>
        <w:rPr>
          <w:rFonts w:hint="eastAsia" w:ascii="楷体_GB2312" w:hAnsi="楷体_GB2312" w:eastAsia="楷体_GB2312" w:cs="楷体_GB2312"/>
          <w:color w:val="000000" w:themeColor="text1"/>
          <w:sz w:val="28"/>
          <w:szCs w:val="28"/>
          <w:highlight w:val="none"/>
          <w14:textFill>
            <w14:solidFill>
              <w14:schemeClr w14:val="tx1"/>
            </w14:solidFill>
          </w14:textFill>
        </w:rPr>
        <w:t>未完全消除的微小气泡随甲醇向上流动，进入S型分离叶片8区域</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r>
        <w:rPr>
          <w:rFonts w:hint="eastAsia" w:ascii="楷体_GB2312" w:hAnsi="楷体_GB2312" w:eastAsia="楷体_GB2312" w:cs="楷体_GB2312"/>
          <w:color w:val="000000" w:themeColor="text1"/>
          <w:sz w:val="28"/>
          <w:szCs w:val="28"/>
          <w:highlight w:val="none"/>
          <w14:textFill>
            <w14:solidFill>
              <w14:schemeClr w14:val="tx1"/>
            </w14:solidFill>
          </w14:textFill>
        </w:rPr>
        <w:t>S型叶片的曲折结构延长了气液混合体的流动路径，利用气体与液体的密度差，使气泡在浮力作用下逐渐聚集并上升，而液体则沿叶片表面流下，实现气液分离。分离出的气体在缓冲罐顶部聚集，此时压力传感器7实时监测罐内气压，当压力超过设定阈值时，控制系统触发电磁阀6打开，通过泄压管5排出多余气体，直至气压表4显示压力回归正常范围后，电磁阀自动关闭</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w:t>
      </w:r>
      <w:r>
        <w:rPr>
          <w:rFonts w:hint="eastAsia" w:ascii="楷体_GB2312" w:hAnsi="楷体_GB2312" w:eastAsia="楷体_GB2312" w:cs="楷体_GB2312"/>
          <w:color w:val="000000" w:themeColor="text1"/>
          <w:sz w:val="28"/>
          <w:szCs w:val="28"/>
          <w:highlight w:val="none"/>
          <w14:textFill>
            <w14:solidFill>
              <w14:schemeClr w14:val="tx1"/>
            </w14:solidFill>
          </w14:textFill>
        </w:rPr>
        <w:t>经过缓冲与分离处理的甲醇，在重力作用下汇集于缓冲罐底部，通过出液口2平稳流入输送泵，进入后续工艺系统</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r>
        <w:rPr>
          <w:rFonts w:hint="eastAsia" w:ascii="楷体_GB2312" w:hAnsi="楷体_GB2312" w:eastAsia="楷体_GB2312" w:cs="楷体_GB2312"/>
          <w:color w:val="000000" w:themeColor="text1"/>
          <w:sz w:val="28"/>
          <w:szCs w:val="28"/>
          <w:highlight w:val="none"/>
          <w14:textFill>
            <w14:solidFill>
              <w14:schemeClr w14:val="tx1"/>
            </w14:solidFill>
          </w14:textFill>
        </w:rPr>
        <w:t>整个过程中，操作人员可通过气压表4实时监控罐内压力变化，确保系统在稳定工况下运行</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r>
        <w:rPr>
          <w:rFonts w:hint="eastAsia" w:ascii="楷体_GB2312" w:hAnsi="楷体_GB2312" w:eastAsia="楷体_GB2312" w:cs="楷体_GB2312"/>
          <w:color w:val="000000" w:themeColor="text1"/>
          <w:sz w:val="28"/>
          <w:szCs w:val="28"/>
          <w:highlight w:val="none"/>
          <w14:textFill>
            <w14:solidFill>
              <w14:schemeClr w14:val="tx1"/>
            </w14:solidFill>
          </w14:textFill>
        </w:rPr>
        <w:t>系统停机后，关闭进料阀门，打开泄压管5的电磁阀6释放罐内残余压力</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r>
        <w:rPr>
          <w:rFonts w:hint="eastAsia" w:ascii="楷体_GB2312" w:hAnsi="楷体_GB2312" w:eastAsia="楷体_GB2312" w:cs="楷体_GB2312"/>
          <w:color w:val="000000" w:themeColor="text1"/>
          <w:sz w:val="28"/>
          <w:szCs w:val="28"/>
          <w:highlight w:val="none"/>
          <w14:textFill>
            <w14:solidFill>
              <w14:schemeClr w14:val="tx1"/>
            </w14:solidFill>
          </w14:textFill>
        </w:rPr>
        <w:t>待压力归零后，可拆开缓冲罐检修口，清理缓冲隔板9上可能残留的杂质，检查S型分离叶片8表面是否有结垢或损伤，校准压力传感器7与气压表4的读数一致性，确保下次启动时设备处于最佳状态</w:t>
      </w:r>
      <w:r>
        <w:rPr>
          <w:rFonts w:hint="eastAsia" w:ascii="楷体_GB2312" w:hAnsi="楷体_GB2312" w:eastAsia="楷体_GB2312" w:cs="楷体_GB2312"/>
          <w:color w:val="000000" w:themeColor="text1"/>
          <w:sz w:val="28"/>
          <w:szCs w:val="28"/>
          <w:highlight w:val="none"/>
          <w14:textFill>
            <w14:solidFill>
              <w14:schemeClr w14:val="tx1"/>
            </w14:solidFill>
          </w14:textFill>
        </w:rPr>
        <w:t>。</w:t>
      </w:r>
    </w:p>
    <w:p w14:paraId="061F6DCC">
      <w:pPr>
        <w:pStyle w:val="4"/>
        <w:spacing w:line="520" w:lineRule="exact"/>
        <w:ind w:left="0"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以上所述，仅为本实用新型的具体实施方式，但本实用新型的保护范围并不局限于此，任何熟悉本技术领域的技术人员在本实用新型揭露的技术范围内，可轻易想到其各种变化或替换，这些都应涵盖在本实用新型的保护范围之内。因此，本实用新型的保护范围应以所述权利要求的保护范围为准。</w:t>
      </w:r>
    </w:p>
    <w:p w14:paraId="7D855BD8">
      <w:pPr>
        <w:spacing w:before="312" w:beforeLines="100" w:after="312" w:afterLines="100"/>
        <w:jc w:val="center"/>
        <w:rPr>
          <w:rFonts w:hint="eastAsia" w:ascii="楷体_GB2312" w:hAnsi="楷体_GB2312" w:eastAsia="楷体_GB2312" w:cs="楷体_GB2312"/>
          <w:color w:val="000000" w:themeColor="text1"/>
          <w:highlight w:val="none"/>
          <w14:textFill>
            <w14:solidFill>
              <w14:schemeClr w14:val="tx1"/>
            </w14:solidFill>
          </w14:textFill>
        </w:rPr>
        <w:sectPr>
          <w:headerReference r:id="rId9" w:type="default"/>
          <w:footerReference r:id="rId10" w:type="default"/>
          <w:pgSz w:w="11906" w:h="16838"/>
          <w:pgMar w:top="1418" w:right="851" w:bottom="851" w:left="1418" w:header="624" w:footer="227" w:gutter="0"/>
          <w:lnNumType w:countBy="0" w:restart="newSection"/>
          <w:pgNumType w:start="1"/>
          <w:cols w:space="425" w:num="1"/>
          <w:docGrid w:type="lines" w:linePitch="312" w:charSpace="0"/>
        </w:sectPr>
      </w:pPr>
    </w:p>
    <w:p w14:paraId="780CE48D">
      <w:pPr>
        <w:jc w:val="center"/>
        <w:rPr>
          <w:rFonts w:hint="eastAsia" w:ascii="楷体_GB2312" w:hAnsi="楷体_GB2312" w:eastAsia="楷体_GB2312" w:cs="楷体_GB2312"/>
          <w:color w:val="000000" w:themeColor="text1"/>
          <w:sz w:val="28"/>
          <w:szCs w:val="28"/>
          <w:highlight w:val="none"/>
          <w14:textFill>
            <w14:solidFill>
              <w14:schemeClr w14:val="tx1"/>
            </w14:solidFill>
          </w14:textFill>
        </w:rPr>
      </w:pPr>
      <w:r>
        <w:rPr>
          <w:color w:val="000000" w:themeColor="text1"/>
          <w14:textFill>
            <w14:solidFill>
              <w14:schemeClr w14:val="tx1"/>
            </w14:solidFill>
          </w14:textFill>
        </w:rPr>
        <w:drawing>
          <wp:inline distT="0" distB="0" distL="114300" distR="114300">
            <wp:extent cx="6115685" cy="5109845"/>
            <wp:effectExtent l="0" t="0" r="18415" b="14605"/>
            <wp:docPr id="1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3"/>
                    <pic:cNvPicPr>
                      <a:picLocks noChangeAspect="1"/>
                    </pic:cNvPicPr>
                  </pic:nvPicPr>
                  <pic:blipFill>
                    <a:blip r:embed="rId14"/>
                    <a:stretch>
                      <a:fillRect/>
                    </a:stretch>
                  </pic:blipFill>
                  <pic:spPr>
                    <a:xfrm>
                      <a:off x="0" y="0"/>
                      <a:ext cx="6115685" cy="5109845"/>
                    </a:xfrm>
                    <a:prstGeom prst="rect">
                      <a:avLst/>
                    </a:prstGeom>
                    <a:noFill/>
                    <a:ln>
                      <a:noFill/>
                    </a:ln>
                  </pic:spPr>
                </pic:pic>
              </a:graphicData>
            </a:graphic>
          </wp:inline>
        </w:drawing>
      </w:r>
    </w:p>
    <w:p w14:paraId="28EDD871">
      <w:pPr>
        <w:jc w:val="center"/>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图1</w:t>
      </w:r>
    </w:p>
    <w:p w14:paraId="4CB40E00">
      <w:pPr>
        <w:jc w:val="center"/>
        <w:rPr>
          <w:rFonts w:hint="eastAsia" w:ascii="楷体_GB2312" w:hAnsi="楷体_GB2312" w:eastAsia="楷体_GB2312" w:cs="楷体_GB2312"/>
          <w:color w:val="000000" w:themeColor="text1"/>
          <w:sz w:val="28"/>
          <w:szCs w:val="28"/>
          <w:highlight w:val="none"/>
          <w14:textFill>
            <w14:solidFill>
              <w14:schemeClr w14:val="tx1"/>
            </w14:solidFill>
          </w14:textFill>
        </w:rPr>
      </w:pPr>
      <w:r>
        <w:rPr>
          <w:color w:val="000000" w:themeColor="text1"/>
          <w14:textFill>
            <w14:solidFill>
              <w14:schemeClr w14:val="tx1"/>
            </w14:solidFill>
          </w14:textFill>
        </w:rPr>
        <w:drawing>
          <wp:inline distT="0" distB="0" distL="114300" distR="114300">
            <wp:extent cx="6115685" cy="4021455"/>
            <wp:effectExtent l="0" t="0" r="18415" b="17145"/>
            <wp:docPr id="1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6"/>
                    <pic:cNvPicPr>
                      <a:picLocks noChangeAspect="1"/>
                    </pic:cNvPicPr>
                  </pic:nvPicPr>
                  <pic:blipFill>
                    <a:blip r:embed="rId15"/>
                    <a:stretch>
                      <a:fillRect/>
                    </a:stretch>
                  </pic:blipFill>
                  <pic:spPr>
                    <a:xfrm>
                      <a:off x="0" y="0"/>
                      <a:ext cx="6115685" cy="4021455"/>
                    </a:xfrm>
                    <a:prstGeom prst="rect">
                      <a:avLst/>
                    </a:prstGeom>
                    <a:noFill/>
                    <a:ln>
                      <a:noFill/>
                    </a:ln>
                  </pic:spPr>
                </pic:pic>
              </a:graphicData>
            </a:graphic>
          </wp:inline>
        </w:drawing>
      </w:r>
    </w:p>
    <w:p w14:paraId="3EB84106">
      <w:pPr>
        <w:jc w:val="center"/>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图2</w:t>
      </w:r>
    </w:p>
    <w:bookmarkEnd w:id="0"/>
    <w:sectPr>
      <w:headerReference r:id="rId11" w:type="default"/>
      <w:footerReference r:id="rId12" w:type="default"/>
      <w:pgSz w:w="11906" w:h="16838"/>
      <w:pgMar w:top="1418" w:right="851" w:bottom="851" w:left="1418" w:header="624" w:footer="227"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1BA618">
    <w:pPr>
      <w:pStyle w:val="6"/>
    </w:pPr>
    <w:r>
      <w:rPr>
        <w:rFonts w:hint="eastAsia"/>
      </w:rPr>
      <mc:AlternateContent>
        <mc:Choice Requires="wps">
          <w:drawing>
            <wp:anchor distT="0" distB="0" distL="114300" distR="114300" simplePos="0" relativeHeight="251663360" behindDoc="0" locked="0" layoutInCell="0" allowOverlap="1">
              <wp:simplePos x="0" y="0"/>
              <wp:positionH relativeFrom="column">
                <wp:posOffset>-2540</wp:posOffset>
              </wp:positionH>
              <wp:positionV relativeFrom="paragraph">
                <wp:posOffset>-31115</wp:posOffset>
              </wp:positionV>
              <wp:extent cx="6120130" cy="0"/>
              <wp:effectExtent l="0" t="0" r="13970" b="19050"/>
              <wp:wrapNone/>
              <wp:docPr id="11" name="直接连接符 11"/>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2pt;margin-top:-2.45pt;height:0pt;width:481.9pt;z-index:251663360;mso-width-relative:page;mso-height-relative:page;" filled="f" stroked="t" coordsize="21600,21600" o:allowincell="f" o:gfxdata="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PB4rvvUAAAABwEAAA8A&#10;AAAAAAAAAQAgAAAAIgAAAGRycy9kb3ducmV2LnhtbFBLAQIUABQAAAAIAIdO4kB11CCk4gEAAK0D&#10;AAAOAAAAAAAAAAEAIAAAACMBAABkcnMvZTJvRG9jLnhtbFBLBQYAAAAABgAGAFkBAAB3BQAAAAA=&#10;">
              <v:fill on="f" focussize="0,0"/>
              <v:stroke weight="1pt" color="#000000" joinstyle="round"/>
              <v:imagedata o:title=""/>
              <o:lock v:ext="edit" aspectratio="f"/>
            </v:line>
          </w:pict>
        </mc:Fallback>
      </mc:AlternateContent>
    </w:r>
    <w:r>
      <w:rPr>
        <w:rFonts w:ascii="Arial" w:hAnsi="Arial" w:cs="Arial"/>
      </w:rPr>
      <w:t>10000</w:t>
    </w:r>
    <w:r>
      <w:rPr>
        <w:rFonts w:hint="eastAsia" w:ascii="Arial" w:hAnsi="Arial" w:cs="Arial"/>
      </w:rPr>
      <w:t xml:space="preserve">4                                                </w:t>
    </w:r>
    <w:r>
      <w:rPr>
        <w:rFonts w:hint="eastAsia" w:ascii="Arial" w:hAnsi="Arial" w:cs="Arial"/>
        <w:sz w:val="20"/>
        <w:szCs w:val="20"/>
      </w:rPr>
      <w:t xml:space="preserve"> </w:t>
    </w:r>
    <w:r>
      <w:rPr>
        <w:rFonts w:ascii="Arial" w:hAnsi="Arial" w:cs="Arial"/>
        <w:bCs/>
        <w:sz w:val="20"/>
        <w:szCs w:val="20"/>
      </w:rPr>
      <w:fldChar w:fldCharType="begin"/>
    </w:r>
    <w:r>
      <w:rPr>
        <w:rFonts w:ascii="Arial" w:hAnsi="Arial" w:cs="Arial"/>
        <w:bCs/>
        <w:sz w:val="20"/>
        <w:szCs w:val="20"/>
      </w:rPr>
      <w:instrText xml:space="preserve">PAGE   \* MERGEFORMAT</w:instrText>
    </w:r>
    <w:r>
      <w:rPr>
        <w:rFonts w:ascii="Arial" w:hAnsi="Arial" w:cs="Arial"/>
        <w:bCs/>
        <w:sz w:val="20"/>
        <w:szCs w:val="20"/>
      </w:rPr>
      <w:fldChar w:fldCharType="separate"/>
    </w:r>
    <w:r>
      <w:rPr>
        <w:rFonts w:ascii="Arial" w:hAnsi="Arial" w:cs="Arial"/>
        <w:bCs/>
        <w:sz w:val="20"/>
        <w:szCs w:val="20"/>
      </w:rPr>
      <w:t>1</w:t>
    </w:r>
    <w:r>
      <w:rPr>
        <w:rFonts w:ascii="Arial" w:hAnsi="Arial" w:cs="Arial"/>
        <w:bCs/>
        <w:sz w:val="20"/>
        <w:szCs w:val="20"/>
      </w:rPr>
      <w:fldChar w:fldCharType="end"/>
    </w:r>
  </w:p>
  <w:p w14:paraId="2B960DCB">
    <w:pPr>
      <w:pStyle w:val="6"/>
      <w:rPr>
        <w:rFonts w:ascii="Arial" w:hAnsi="Arial" w:cs="Arial"/>
      </w:rPr>
    </w:pPr>
    <w:r>
      <w:rPr>
        <w:rFonts w:hint="eastAsia" w:ascii="Arial" w:hAnsi="Arial" w:cs="Arial"/>
      </w:rPr>
      <w:t>201812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4C3FAE">
    <w:pPr>
      <w:pStyle w:val="6"/>
    </w:pPr>
    <w:r>
      <w:rPr>
        <w:rFonts w:hint="eastAsia"/>
      </w:rPr>
      <mc:AlternateContent>
        <mc:Choice Requires="wps">
          <w:drawing>
            <wp:anchor distT="0" distB="0" distL="114300" distR="114300" simplePos="0" relativeHeight="251667456" behindDoc="0" locked="0" layoutInCell="0" allowOverlap="1">
              <wp:simplePos x="0" y="0"/>
              <wp:positionH relativeFrom="column">
                <wp:posOffset>-2540</wp:posOffset>
              </wp:positionH>
              <wp:positionV relativeFrom="paragraph">
                <wp:posOffset>-31115</wp:posOffset>
              </wp:positionV>
              <wp:extent cx="6120130" cy="0"/>
              <wp:effectExtent l="0" t="0" r="13970" b="19050"/>
              <wp:wrapNone/>
              <wp:docPr id="13" name="直接连接符 13"/>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2pt;margin-top:-2.45pt;height:0pt;width:481.9pt;z-index:251667456;mso-width-relative:page;mso-height-relative:page;" filled="f" stroked="t" coordsize="21600,21600" o:allowincell="f" o:gfxdata="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8Hiu+9QAAAAHAQAA&#10;DwAAAAAAAAABACAAAAAiAAAAZHJzL2Rvd25yZXYueG1sUEsBAhQAFAAAAAgAh07iQJ79Su7kAQAA&#10;rQMAAA4AAAAAAAAAAQAgAAAAIwEAAGRycy9lMm9Eb2MueG1sUEsFBgAAAAAGAAYAWQEAAHkFAAAA&#10;AA==&#10;">
              <v:fill on="f" focussize="0,0"/>
              <v:stroke weight="1pt" color="#000000" joinstyle="round"/>
              <v:imagedata o:title=""/>
              <o:lock v:ext="edit" aspectratio="f"/>
            </v:line>
          </w:pict>
        </mc:Fallback>
      </mc:AlternateContent>
    </w:r>
    <w:r>
      <w:rPr>
        <w:rFonts w:ascii="Arial" w:hAnsi="Arial" w:cs="Arial"/>
      </w:rPr>
      <w:t>10000</w:t>
    </w:r>
    <w:r>
      <w:rPr>
        <w:rFonts w:hint="eastAsia" w:ascii="Arial" w:hAnsi="Arial" w:cs="Arial"/>
      </w:rPr>
      <w:t xml:space="preserve">5                                                </w:t>
    </w:r>
    <w:r>
      <w:rPr>
        <w:rFonts w:hint="eastAsia" w:ascii="Arial" w:hAnsi="Arial" w:cs="Arial"/>
        <w:sz w:val="20"/>
        <w:szCs w:val="20"/>
      </w:rPr>
      <w:t xml:space="preserve"> </w:t>
    </w:r>
    <w:r>
      <w:rPr>
        <w:rFonts w:hint="eastAsia" w:ascii="Arial" w:hAnsi="Arial" w:cs="Arial"/>
        <w:bCs/>
        <w:sz w:val="20"/>
        <w:szCs w:val="20"/>
      </w:rPr>
      <w:t>1</w:t>
    </w:r>
  </w:p>
  <w:p w14:paraId="4F28064F">
    <w:pPr>
      <w:pStyle w:val="6"/>
      <w:rPr>
        <w:rFonts w:ascii="Arial" w:hAnsi="Arial" w:cs="Arial"/>
      </w:rPr>
    </w:pPr>
    <w:r>
      <w:rPr>
        <w:rFonts w:hint="eastAsia" w:ascii="Arial" w:hAnsi="Arial" w:cs="Arial"/>
      </w:rPr>
      <w:t>201812</w:t>
    </w:r>
    <w:r>
      <w:rPr>
        <w:rFonts w:hint="eastAsia"/>
      </w:rPr>
      <mc:AlternateContent>
        <mc:Choice Requires="wps">
          <w:drawing>
            <wp:anchor distT="0" distB="0" distL="114300" distR="114300" simplePos="0" relativeHeight="251662336" behindDoc="0" locked="0" layoutInCell="0" allowOverlap="1">
              <wp:simplePos x="0" y="0"/>
              <wp:positionH relativeFrom="column">
                <wp:posOffset>-2540</wp:posOffset>
              </wp:positionH>
              <wp:positionV relativeFrom="paragraph">
                <wp:posOffset>300990</wp:posOffset>
              </wp:positionV>
              <wp:extent cx="6120130" cy="0"/>
              <wp:effectExtent l="0" t="0" r="13970" b="19050"/>
              <wp:wrapNone/>
              <wp:docPr id="10" name="直接连接符 10"/>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2pt;margin-top:23.7pt;height:0pt;width:481.9pt;z-index:251662336;mso-width-relative:page;mso-height-relative:page;" filled="f" stroked="t" coordsize="21600,21600" o:allowincell="f" o:gfxdata="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FTLWprWAAAABwEA&#10;AA8AAAAAAAAAAQAgAAAAIgAAAGRycy9kb3ducmV2LnhtbFBLAQIUABQAAAAIAIdO4kCgQ61s4wEA&#10;AK0DAAAOAAAAAAAAAAEAIAAAACUBAABkcnMvZTJvRG9jLnhtbFBLBQYAAAAABgAGAFkBAAB6BQAA&#10;AAA=&#10;">
              <v:fill on="f" focussize="0,0"/>
              <v:stroke weight="1pt" color="#000000" joinstyle="round"/>
              <v:imagedata o:title=""/>
              <o:lock v:ext="edit" aspectratio="f"/>
            </v:lin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1B85A6">
    <w:pPr>
      <w:pStyle w:val="6"/>
    </w:pPr>
    <w:r>
      <w:rPr>
        <w:rFonts w:hint="eastAsia"/>
      </w:rPr>
      <mc:AlternateContent>
        <mc:Choice Requires="wps">
          <w:drawing>
            <wp:anchor distT="0" distB="0" distL="114300" distR="114300" simplePos="0" relativeHeight="251664384" behindDoc="0" locked="0" layoutInCell="0" allowOverlap="1">
              <wp:simplePos x="0" y="0"/>
              <wp:positionH relativeFrom="column">
                <wp:posOffset>1905</wp:posOffset>
              </wp:positionH>
              <wp:positionV relativeFrom="paragraph">
                <wp:posOffset>-61595</wp:posOffset>
              </wp:positionV>
              <wp:extent cx="6120130" cy="0"/>
              <wp:effectExtent l="0" t="0" r="13970" b="19050"/>
              <wp:wrapNone/>
              <wp:docPr id="9" name="直接连接符 9"/>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15pt;margin-top:-4.85pt;height:0pt;width:481.9pt;z-index:251664384;mso-width-relative:page;mso-height-relative:page;" filled="f" stroked="t" coordsize="21600,21600" o:allowincell="f" o:gfxdata="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CCELLvVAAAABgEA&#10;AA8AAAAAAAAAAQAgAAAAIgAAAGRycy9kb3ducmV2LnhtbFBLAQIUABQAAAAIAIdO4kC0PP2R5AEA&#10;AKsDAAAOAAAAAAAAAAEAIAAAACQBAABkcnMvZTJvRG9jLnhtbFBLBQYAAAAABgAGAFkBAAB6BQAA&#10;AAA=&#10;">
              <v:fill on="f" focussize="0,0"/>
              <v:stroke weight="1pt" color="#000000" joinstyle="round"/>
              <v:imagedata o:title=""/>
              <o:lock v:ext="edit" aspectratio="f"/>
            </v:line>
          </w:pict>
        </mc:Fallback>
      </mc:AlternateContent>
    </w:r>
    <w:r>
      <w:rPr>
        <w:rFonts w:ascii="Arial" w:hAnsi="Arial" w:cs="Arial"/>
      </w:rPr>
      <w:t>10000</w:t>
    </w:r>
    <w:r>
      <w:rPr>
        <w:rFonts w:hint="eastAsia" w:ascii="Arial" w:hAnsi="Arial" w:cs="Arial"/>
      </w:rPr>
      <w:t xml:space="preserve">1                                                </w:t>
    </w:r>
    <w:r>
      <w:rPr>
        <w:rFonts w:hint="eastAsia" w:ascii="Arial" w:hAnsi="Arial" w:cs="Arial"/>
        <w:sz w:val="20"/>
        <w:szCs w:val="20"/>
      </w:rPr>
      <w:t xml:space="preserve"> </w:t>
    </w:r>
    <w:r>
      <w:rPr>
        <w:rFonts w:ascii="Arial" w:hAnsi="Arial" w:cs="Arial"/>
        <w:bCs/>
        <w:sz w:val="20"/>
        <w:szCs w:val="20"/>
      </w:rPr>
      <w:fldChar w:fldCharType="begin"/>
    </w:r>
    <w:r>
      <w:rPr>
        <w:rFonts w:ascii="Arial" w:hAnsi="Arial" w:cs="Arial"/>
        <w:bCs/>
        <w:sz w:val="20"/>
        <w:szCs w:val="20"/>
      </w:rPr>
      <w:instrText xml:space="preserve">PAGE   \* MERGEFORMAT</w:instrText>
    </w:r>
    <w:r>
      <w:rPr>
        <w:rFonts w:ascii="Arial" w:hAnsi="Arial" w:cs="Arial"/>
        <w:bCs/>
        <w:sz w:val="20"/>
        <w:szCs w:val="20"/>
      </w:rPr>
      <w:fldChar w:fldCharType="separate"/>
    </w:r>
    <w:r>
      <w:rPr>
        <w:rFonts w:ascii="Arial" w:hAnsi="Arial" w:cs="Arial"/>
        <w:bCs/>
        <w:sz w:val="20"/>
        <w:szCs w:val="20"/>
      </w:rPr>
      <w:t>1</w:t>
    </w:r>
    <w:r>
      <w:rPr>
        <w:rFonts w:ascii="Arial" w:hAnsi="Arial" w:cs="Arial"/>
        <w:bCs/>
        <w:sz w:val="20"/>
        <w:szCs w:val="20"/>
      </w:rPr>
      <w:fldChar w:fldCharType="end"/>
    </w:r>
  </w:p>
  <w:p w14:paraId="2520DF40">
    <w:pPr>
      <w:pStyle w:val="6"/>
      <w:rPr>
        <w:rFonts w:ascii="Arial" w:hAnsi="Arial" w:cs="Arial"/>
      </w:rPr>
    </w:pPr>
    <w:r>
      <w:rPr>
        <w:rFonts w:hint="eastAsia" w:ascii="Arial" w:hAnsi="Arial" w:cs="Arial"/>
      </w:rPr>
      <w:t>201812</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706DDB">
    <w:pPr>
      <w:pStyle w:val="6"/>
      <w:rPr>
        <w:rFonts w:ascii="Arial" w:hAnsi="Arial" w:cs="Arial"/>
        <w:bCs/>
        <w:sz w:val="16"/>
        <w:szCs w:val="16"/>
      </w:rPr>
    </w:pPr>
    <w:r>
      <w:rPr>
        <w:rFonts w:hint="eastAsia"/>
      </w:rPr>
      <mc:AlternateContent>
        <mc:Choice Requires="wps">
          <w:drawing>
            <wp:anchor distT="0" distB="0" distL="114300" distR="114300" simplePos="0" relativeHeight="251668480" behindDoc="0" locked="0" layoutInCell="0" allowOverlap="1">
              <wp:simplePos x="0" y="0"/>
              <wp:positionH relativeFrom="column">
                <wp:posOffset>-1905</wp:posOffset>
              </wp:positionH>
              <wp:positionV relativeFrom="paragraph">
                <wp:posOffset>-24765</wp:posOffset>
              </wp:positionV>
              <wp:extent cx="6120130" cy="0"/>
              <wp:effectExtent l="0" t="0" r="13970" b="19050"/>
              <wp:wrapNone/>
              <wp:docPr id="18" name="直接连接符 18"/>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15pt;margin-top:-1.95pt;height:0pt;width:481.9pt;z-index:251668480;mso-width-relative:page;mso-height-relative:page;" filled="f" stroked="t" coordsize="21600,21600" o:allowincell="f" o:gfxdata="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NMFjJbWAAAABwEA&#10;AA8AAAAAAAAAAQAgAAAAIgAAAGRycy9kb3ducmV2LnhtbFBLAQIUABQAAAAIAIdO4kBN4nSe4wEA&#10;AK0DAAAOAAAAAAAAAAEAIAAAACUBAABkcnMvZTJvRG9jLnhtbFBLBQYAAAAABgAGAFkBAAB6BQAA&#10;AAA=&#10;">
              <v:fill on="f" focussize="0,0"/>
              <v:stroke weight="1pt" color="#000000" joinstyle="round"/>
              <v:imagedata o:title=""/>
              <o:lock v:ext="edit" aspectratio="f"/>
            </v:line>
          </w:pict>
        </mc:Fallback>
      </mc:AlternateContent>
    </w:r>
    <w:r>
      <w:rPr>
        <w:rFonts w:hint="eastAsia" w:ascii="Arial" w:hAnsi="Arial" w:cs="Arial"/>
        <w:bCs/>
        <w:sz w:val="16"/>
        <w:szCs w:val="16"/>
      </w:rPr>
      <w:t xml:space="preserve">100002                                                     </w:t>
    </w:r>
    <w:r>
      <w:rPr>
        <w:rFonts w:ascii="Arial" w:hAnsi="Arial" w:cs="Arial"/>
        <w:bCs/>
        <w:sz w:val="20"/>
        <w:szCs w:val="20"/>
      </w:rPr>
      <w:fldChar w:fldCharType="begin"/>
    </w:r>
    <w:r>
      <w:rPr>
        <w:rFonts w:ascii="Arial" w:hAnsi="Arial" w:cs="Arial"/>
        <w:bCs/>
        <w:sz w:val="20"/>
        <w:szCs w:val="20"/>
      </w:rPr>
      <w:instrText xml:space="preserve">PAGE</w:instrText>
    </w:r>
    <w:r>
      <w:rPr>
        <w:rFonts w:ascii="Arial" w:hAnsi="Arial" w:cs="Arial"/>
        <w:bCs/>
        <w:sz w:val="20"/>
        <w:szCs w:val="20"/>
      </w:rPr>
      <w:fldChar w:fldCharType="separate"/>
    </w:r>
    <w:r>
      <w:rPr>
        <w:rFonts w:ascii="Arial" w:hAnsi="Arial" w:cs="Arial"/>
        <w:bCs/>
        <w:sz w:val="20"/>
        <w:szCs w:val="20"/>
      </w:rPr>
      <w:t>1</w:t>
    </w:r>
    <w:r>
      <w:rPr>
        <w:rFonts w:ascii="Arial" w:hAnsi="Arial" w:cs="Arial"/>
        <w:bCs/>
        <w:sz w:val="20"/>
        <w:szCs w:val="20"/>
      </w:rPr>
      <w:fldChar w:fldCharType="end"/>
    </w:r>
    <w:r>
      <w:rPr>
        <w:rFonts w:ascii="Arial" w:hAnsi="Arial" w:cs="Arial"/>
        <w:sz w:val="16"/>
        <w:szCs w:val="16"/>
        <w:lang w:val="zh-CN"/>
      </w:rPr>
      <w:t xml:space="preserve"> </w:t>
    </w:r>
  </w:p>
  <w:p w14:paraId="5740DE9B">
    <w:pPr>
      <w:pStyle w:val="6"/>
      <w:rPr>
        <w:rFonts w:ascii="Arial" w:hAnsi="Arial" w:cs="Arial"/>
        <w:sz w:val="16"/>
        <w:szCs w:val="16"/>
      </w:rPr>
    </w:pPr>
    <w:r>
      <w:rPr>
        <w:rFonts w:hint="eastAsia" w:ascii="Arial" w:hAnsi="Arial" w:cs="Arial"/>
        <w:bCs/>
        <w:sz w:val="16"/>
        <w:szCs w:val="16"/>
      </w:rPr>
      <w:t>201812</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C91ADA">
    <w:pPr>
      <w:pStyle w:val="6"/>
      <w:rPr>
        <w:rFonts w:ascii="Arial" w:hAnsi="Arial" w:cs="Arial"/>
        <w:bCs/>
        <w:sz w:val="16"/>
        <w:szCs w:val="16"/>
      </w:rPr>
    </w:pPr>
    <w:r>
      <w:rPr>
        <w:rFonts w:hint="eastAsia"/>
      </w:rPr>
      <mc:AlternateContent>
        <mc:Choice Requires="wps">
          <w:drawing>
            <wp:anchor distT="0" distB="0" distL="114300" distR="114300" simplePos="0" relativeHeight="251665408" behindDoc="0" locked="0" layoutInCell="0" allowOverlap="1">
              <wp:simplePos x="0" y="0"/>
              <wp:positionH relativeFrom="column">
                <wp:posOffset>-1905</wp:posOffset>
              </wp:positionH>
              <wp:positionV relativeFrom="paragraph">
                <wp:posOffset>-24765</wp:posOffset>
              </wp:positionV>
              <wp:extent cx="6120130" cy="0"/>
              <wp:effectExtent l="0" t="0" r="13970" b="1905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15pt;margin-top:-1.95pt;height:0pt;width:481.9pt;z-index:251665408;mso-width-relative:page;mso-height-relative:page;" filled="f" stroked="t" coordsize="21600,21600" o:allowincell="f" o:gfxdata="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TBYyW1gAAAAcBAAAP&#10;AAAAAAAAAAEAIAAAACIAAABkcnMvZG93bnJldi54bWxQSwECFAAUAAAACACHTuJAGVSAaeEBAACr&#10;AwAADgAAAAAAAAABACAAAAAlAQAAZHJzL2Uyb0RvYy54bWxQSwUGAAAAAAYABgBZAQAAeAUAAAAA&#10;">
              <v:fill on="f" focussize="0,0"/>
              <v:stroke weight="1pt" color="#000000" joinstyle="round"/>
              <v:imagedata o:title=""/>
              <o:lock v:ext="edit" aspectratio="f"/>
            </v:line>
          </w:pict>
        </mc:Fallback>
      </mc:AlternateContent>
    </w:r>
    <w:r>
      <w:rPr>
        <w:rFonts w:hint="eastAsia" w:ascii="Arial" w:hAnsi="Arial" w:cs="Arial"/>
        <w:bCs/>
        <w:sz w:val="16"/>
        <w:szCs w:val="16"/>
      </w:rPr>
      <w:t xml:space="preserve">100003                                                     </w:t>
    </w:r>
    <w:r>
      <w:rPr>
        <w:rFonts w:ascii="Arial" w:hAnsi="Arial" w:cs="Arial"/>
        <w:bCs/>
        <w:sz w:val="20"/>
        <w:szCs w:val="20"/>
      </w:rPr>
      <w:fldChar w:fldCharType="begin"/>
    </w:r>
    <w:r>
      <w:rPr>
        <w:rFonts w:ascii="Arial" w:hAnsi="Arial" w:cs="Arial"/>
        <w:bCs/>
        <w:sz w:val="20"/>
        <w:szCs w:val="20"/>
      </w:rPr>
      <w:instrText xml:space="preserve">PAGE</w:instrText>
    </w:r>
    <w:r>
      <w:rPr>
        <w:rFonts w:ascii="Arial" w:hAnsi="Arial" w:cs="Arial"/>
        <w:bCs/>
        <w:sz w:val="20"/>
        <w:szCs w:val="20"/>
      </w:rPr>
      <w:fldChar w:fldCharType="separate"/>
    </w:r>
    <w:r>
      <w:rPr>
        <w:rFonts w:ascii="Arial" w:hAnsi="Arial" w:cs="Arial"/>
        <w:bCs/>
        <w:sz w:val="20"/>
        <w:szCs w:val="20"/>
      </w:rPr>
      <w:t>1</w:t>
    </w:r>
    <w:r>
      <w:rPr>
        <w:rFonts w:ascii="Arial" w:hAnsi="Arial" w:cs="Arial"/>
        <w:bCs/>
        <w:sz w:val="20"/>
        <w:szCs w:val="20"/>
      </w:rPr>
      <w:fldChar w:fldCharType="end"/>
    </w:r>
    <w:r>
      <w:rPr>
        <w:rFonts w:ascii="Arial" w:hAnsi="Arial" w:cs="Arial"/>
        <w:sz w:val="16"/>
        <w:szCs w:val="16"/>
        <w:lang w:val="zh-CN"/>
      </w:rPr>
      <w:t xml:space="preserve"> </w:t>
    </w:r>
  </w:p>
  <w:p w14:paraId="320993AC">
    <w:pPr>
      <w:pStyle w:val="6"/>
      <w:rPr>
        <w:rFonts w:ascii="Arial" w:hAnsi="Arial" w:cs="Arial"/>
        <w:sz w:val="16"/>
        <w:szCs w:val="16"/>
      </w:rPr>
    </w:pPr>
    <w:r>
      <w:rPr>
        <w:rFonts w:hint="eastAsia" w:ascii="Arial" w:hAnsi="Arial" w:cs="Arial"/>
        <w:bCs/>
        <w:sz w:val="16"/>
        <w:szCs w:val="16"/>
      </w:rPr>
      <w:t>201812</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891AFA">
    <w:pPr>
      <w:pStyle w:val="7"/>
    </w:pPr>
    <w:r>
      <w:rPr>
        <w:rFonts w:hint="eastAsia"/>
      </w:rPr>
      <mc:AlternateContent>
        <mc:Choice Requires="wps">
          <w:drawing>
            <wp:anchor distT="0" distB="0" distL="114300" distR="114300" simplePos="0" relativeHeight="251659264" behindDoc="0" locked="0" layoutInCell="0" allowOverlap="1">
              <wp:simplePos x="0" y="0"/>
              <wp:positionH relativeFrom="column">
                <wp:posOffset>-1905</wp:posOffset>
              </wp:positionH>
              <wp:positionV relativeFrom="paragraph">
                <wp:posOffset>307340</wp:posOffset>
              </wp:positionV>
              <wp:extent cx="6120130" cy="0"/>
              <wp:effectExtent l="0" t="0" r="13970" b="1905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15pt;margin-top:24.2pt;height:0pt;width:481.9pt;z-index:251659264;mso-width-relative:page;mso-height-relative:page;" filled="f" stroked="t" coordsize="21600,21600" o:allowincell="f" o:gfxdata="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LvNBbbWAAAABwEA&#10;AA8AAAAAAAAAAQAgAAAAIgAAAGRycy9kb3ducmV2LnhtbFBLAQIUABQAAAAIAIdO4kBfQZro4wEA&#10;AKsDAAAOAAAAAAAAAAEAIAAAACUBAABkcnMvZTJvRG9jLnhtbFBLBQYAAAAABgAGAFkBAAB6BQAA&#10;AAA=&#10;">
              <v:fill on="f" focussize="0,0"/>
              <v:stroke weight="1pt" color="#000000" joinstyle="round"/>
              <v:imagedata o:title=""/>
              <o:lock v:ext="edit" aspectratio="f"/>
            </v:line>
          </w:pict>
        </mc:Fallback>
      </mc:AlternateContent>
    </w:r>
    <w:r>
      <w:rPr>
        <w:rFonts w:hint="eastAsia"/>
      </w:rPr>
      <w:t>说 明 书 摘 要</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7EA098">
    <w:pPr>
      <w:pStyle w:val="7"/>
    </w:pPr>
    <w:r>
      <w:rPr>
        <w:rFonts w:hint="eastAsia"/>
      </w:rPr>
      <mc:AlternateContent>
        <mc:Choice Requires="wps">
          <w:drawing>
            <wp:anchor distT="0" distB="0" distL="114300" distR="114300" simplePos="0" relativeHeight="251660288" behindDoc="0" locked="0" layoutInCell="0" allowOverlap="1">
              <wp:simplePos x="0" y="0"/>
              <wp:positionH relativeFrom="column">
                <wp:posOffset>-4445</wp:posOffset>
              </wp:positionH>
              <wp:positionV relativeFrom="paragraph">
                <wp:posOffset>302260</wp:posOffset>
              </wp:positionV>
              <wp:extent cx="6120130" cy="0"/>
              <wp:effectExtent l="0" t="0" r="13970" b="19050"/>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35pt;margin-top:23.8pt;height:0pt;width:481.9pt;z-index:251660288;mso-width-relative:page;mso-height-relative:page;" filled="f" stroked="t" coordsize="21600,21600" o:allowincell="f" o:gfxdata="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bFrLbtUAAAAHAQAA&#10;DwAAAAAAAAABACAAAAAiAAAAZHJzL2Rvd25yZXYueG1sUEsBAhQAFAAAAAgAh07iQKJPQyHjAQAA&#10;qwMAAA4AAAAAAAAAAQAgAAAAJAEAAGRycy9lMm9Eb2MueG1sUEsFBgAAAAAGAAYAWQEAAHkFAAAA&#10;AA==&#10;">
              <v:fill on="f" focussize="0,0"/>
              <v:stroke weight="1pt" color="#000000" joinstyle="round"/>
              <v:imagedata o:title=""/>
              <o:lock v:ext="edit" aspectratio="f"/>
            </v:line>
          </w:pict>
        </mc:Fallback>
      </mc:AlternateContent>
    </w:r>
    <w:r>
      <w:rPr>
        <w:rFonts w:hint="eastAsia"/>
      </w:rPr>
      <w:t>摘 要 附 图</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3BCA9C">
    <w:pPr>
      <w:pStyle w:val="7"/>
    </w:pPr>
    <w:r>
      <w:rPr>
        <w:rFonts w:hint="eastAsia"/>
      </w:rPr>
      <mc:AlternateContent>
        <mc:Choice Requires="wps">
          <w:drawing>
            <wp:anchor distT="0" distB="0" distL="114300" distR="114300" simplePos="0" relativeHeight="251661312" behindDoc="0" locked="0" layoutInCell="0" allowOverlap="1">
              <wp:simplePos x="0" y="0"/>
              <wp:positionH relativeFrom="column">
                <wp:posOffset>-3175</wp:posOffset>
              </wp:positionH>
              <wp:positionV relativeFrom="paragraph">
                <wp:posOffset>305435</wp:posOffset>
              </wp:positionV>
              <wp:extent cx="6120130" cy="0"/>
              <wp:effectExtent l="0" t="0" r="13970" b="19050"/>
              <wp:wrapNone/>
              <wp:docPr id="4"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25pt;margin-top:24.05pt;height:0pt;width:481.9pt;z-index:251661312;mso-width-relative:page;mso-height-relative:page;" filled="f" stroked="t" coordsize="21600,21600" o:allowincell="f" o:gfxdata="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IgABmXWAAAABwEA&#10;AA8AAAAAAAAAAQAgAAAAIgAAAGRycy9kb3ducmV2LnhtbFBLAQIUABQAAAAIAIdO4kCSbd8x4wEA&#10;AKsDAAAOAAAAAAAAAAEAIAAAACUBAABkcnMvZTJvRG9jLnhtbFBLBQYAAAAABgAGAFkBAAB6BQAA&#10;AAA=&#10;">
              <v:fill on="f" focussize="0,0"/>
              <v:stroke weight="1pt" color="#000000" joinstyle="round"/>
              <v:imagedata o:title=""/>
              <o:lock v:ext="edit" aspectratio="f"/>
            </v:line>
          </w:pict>
        </mc:Fallback>
      </mc:AlternateContent>
    </w:r>
    <w:r>
      <w:rPr>
        <w:rFonts w:hint="eastAsia"/>
      </w:rPr>
      <w:t>权 利 要 求 书</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886103">
    <w:pPr>
      <w:pStyle w:val="7"/>
      <w:rPr>
        <w:rFonts w:asciiTheme="minorHAnsi" w:hAnsiTheme="minorHAnsi"/>
      </w:rPr>
    </w:pPr>
    <w:r>
      <w:rPr>
        <w:rFonts w:hint="eastAsia"/>
      </w:rPr>
      <mc:AlternateContent>
        <mc:Choice Requires="wps">
          <w:drawing>
            <wp:anchor distT="0" distB="0" distL="114300" distR="114300" simplePos="0" relativeHeight="251666432" behindDoc="0" locked="0" layoutInCell="0" allowOverlap="1">
              <wp:simplePos x="0" y="0"/>
              <wp:positionH relativeFrom="column">
                <wp:posOffset>-1270</wp:posOffset>
              </wp:positionH>
              <wp:positionV relativeFrom="paragraph">
                <wp:posOffset>306070</wp:posOffset>
              </wp:positionV>
              <wp:extent cx="6120130" cy="0"/>
              <wp:effectExtent l="0" t="0" r="13970" b="1905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1pt;margin-top:24.1pt;height:0pt;width:481.9pt;z-index:251666432;mso-width-relative:page;mso-height-relative:page;" filled="f" stroked="t" coordsize="21600,21600" o:allowincell="f" o:gfxdata="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PUkpXvWAAAABwEA&#10;AA8AAAAAAAAAAQAgAAAAIgAAAGRycy9kb3ducmV2LnhtbFBLAQIUABQAAAAIAIdO4kBvYwb44wEA&#10;AKsDAAAOAAAAAAAAAAEAIAAAACUBAABkcnMvZTJvRG9jLnhtbFBLBQYAAAAABgAGAFkBAAB6BQAA&#10;AAA=&#10;">
              <v:fill on="f" focussize="0,0"/>
              <v:stroke weight="1pt" color="#000000" joinstyle="round"/>
              <v:imagedata o:title=""/>
              <o:lock v:ext="edit" aspectratio="f"/>
            </v:line>
          </w:pict>
        </mc:Fallback>
      </mc:AlternateContent>
    </w:r>
    <w:r>
      <w:rPr>
        <w:rFonts w:hint="eastAsia"/>
      </w:rPr>
      <w:t xml:space="preserve">说 明 书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A0C12C">
    <w:pPr>
      <w:pStyle w:val="7"/>
    </w:pPr>
    <w:r>
      <w:rPr>
        <w:rFonts w:hint="eastAsia"/>
      </w:rPr>
      <mc:AlternateContent>
        <mc:Choice Requires="wps">
          <w:drawing>
            <wp:anchor distT="0" distB="0" distL="114300" distR="114300" simplePos="0" relativeHeight="251663360" behindDoc="0" locked="0" layoutInCell="0" allowOverlap="1">
              <wp:simplePos x="0" y="0"/>
              <wp:positionH relativeFrom="column">
                <wp:posOffset>0</wp:posOffset>
              </wp:positionH>
              <wp:positionV relativeFrom="paragraph">
                <wp:posOffset>305435</wp:posOffset>
              </wp:positionV>
              <wp:extent cx="6120130" cy="0"/>
              <wp:effectExtent l="0" t="0" r="13970" b="19050"/>
              <wp:wrapNone/>
              <wp:docPr id="6" name="直接连接符 6"/>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pt;margin-top:24.05pt;height:0pt;width:481.9pt;z-index:251663360;mso-width-relative:page;mso-height-relative:page;" filled="f" stroked="t" coordsize="21600,21600" o:allowincell="f" o:gfxdata="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tU5PotUAAAAGAQAA&#10;DwAAAAAAAAABACAAAAAiAAAAZHJzL2Rvd25yZXYueG1sUEsBAhQAFAAAAAgAh07iQCl2HHnjAQAA&#10;qwMAAA4AAAAAAAAAAQAgAAAAJAEAAGRycy9lMm9Eb2MueG1sUEsFBgAAAAAGAAYAWQEAAHkFAAAA&#10;AA==&#10;">
              <v:fill on="f" focussize="0,0"/>
              <v:stroke weight="1pt" color="#000000" joinstyle="round"/>
              <v:imagedata o:title=""/>
              <o:lock v:ext="edit" aspectratio="f"/>
            </v:line>
          </w:pict>
        </mc:Fallback>
      </mc:AlternateContent>
    </w:r>
    <w:r>
      <w:rPr>
        <w:rFonts w:hint="eastAsia"/>
      </w:rPr>
      <w:t>说 明 书 附 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I0MzVkMTg2NTA2NzY3ZDBjNjk1NWJlNTMyNzMxY2YifQ=="/>
  </w:docVars>
  <w:rsids>
    <w:rsidRoot w:val="00885BF9"/>
    <w:rsid w:val="000115FB"/>
    <w:rsid w:val="00015181"/>
    <w:rsid w:val="00050EB2"/>
    <w:rsid w:val="000703B7"/>
    <w:rsid w:val="00076DC0"/>
    <w:rsid w:val="00082752"/>
    <w:rsid w:val="0008518C"/>
    <w:rsid w:val="0009533D"/>
    <w:rsid w:val="000A2C12"/>
    <w:rsid w:val="000A636E"/>
    <w:rsid w:val="000C492A"/>
    <w:rsid w:val="000F1191"/>
    <w:rsid w:val="00105989"/>
    <w:rsid w:val="00150ABF"/>
    <w:rsid w:val="00153D28"/>
    <w:rsid w:val="00170654"/>
    <w:rsid w:val="001732F9"/>
    <w:rsid w:val="001C42F1"/>
    <w:rsid w:val="002030BF"/>
    <w:rsid w:val="002052D3"/>
    <w:rsid w:val="00205DCE"/>
    <w:rsid w:val="00233D84"/>
    <w:rsid w:val="0024344D"/>
    <w:rsid w:val="0029606F"/>
    <w:rsid w:val="002C4BF0"/>
    <w:rsid w:val="002D3CED"/>
    <w:rsid w:val="002F0857"/>
    <w:rsid w:val="00326944"/>
    <w:rsid w:val="00333AE7"/>
    <w:rsid w:val="00377669"/>
    <w:rsid w:val="00386085"/>
    <w:rsid w:val="003A18C0"/>
    <w:rsid w:val="003A4135"/>
    <w:rsid w:val="003D10EB"/>
    <w:rsid w:val="003F2970"/>
    <w:rsid w:val="003F45E8"/>
    <w:rsid w:val="00451814"/>
    <w:rsid w:val="00485657"/>
    <w:rsid w:val="00486767"/>
    <w:rsid w:val="0049522F"/>
    <w:rsid w:val="004C35C9"/>
    <w:rsid w:val="004D0560"/>
    <w:rsid w:val="00514790"/>
    <w:rsid w:val="005361B3"/>
    <w:rsid w:val="00547D9B"/>
    <w:rsid w:val="00551721"/>
    <w:rsid w:val="005654DC"/>
    <w:rsid w:val="00576288"/>
    <w:rsid w:val="00577C40"/>
    <w:rsid w:val="005A1C03"/>
    <w:rsid w:val="005A23C9"/>
    <w:rsid w:val="005A637F"/>
    <w:rsid w:val="005D1985"/>
    <w:rsid w:val="005F24F2"/>
    <w:rsid w:val="005F50B9"/>
    <w:rsid w:val="005F729A"/>
    <w:rsid w:val="006026ED"/>
    <w:rsid w:val="00640BE9"/>
    <w:rsid w:val="006E571C"/>
    <w:rsid w:val="006F4CA2"/>
    <w:rsid w:val="007110A0"/>
    <w:rsid w:val="00711C5C"/>
    <w:rsid w:val="00712397"/>
    <w:rsid w:val="00735D3D"/>
    <w:rsid w:val="007402BF"/>
    <w:rsid w:val="0076420D"/>
    <w:rsid w:val="007D0B9E"/>
    <w:rsid w:val="007E27EC"/>
    <w:rsid w:val="00804CF1"/>
    <w:rsid w:val="00813975"/>
    <w:rsid w:val="00836FCE"/>
    <w:rsid w:val="00855567"/>
    <w:rsid w:val="008805BB"/>
    <w:rsid w:val="00885519"/>
    <w:rsid w:val="00885BF9"/>
    <w:rsid w:val="008D6B9C"/>
    <w:rsid w:val="00904511"/>
    <w:rsid w:val="00964A13"/>
    <w:rsid w:val="00980A4C"/>
    <w:rsid w:val="009833CC"/>
    <w:rsid w:val="0098495F"/>
    <w:rsid w:val="00994D51"/>
    <w:rsid w:val="009A7FDA"/>
    <w:rsid w:val="009B681B"/>
    <w:rsid w:val="009D6AB1"/>
    <w:rsid w:val="009E461F"/>
    <w:rsid w:val="00A02F60"/>
    <w:rsid w:val="00A20339"/>
    <w:rsid w:val="00A22A0B"/>
    <w:rsid w:val="00A36EB3"/>
    <w:rsid w:val="00A8521C"/>
    <w:rsid w:val="00A86128"/>
    <w:rsid w:val="00A864E9"/>
    <w:rsid w:val="00B5731E"/>
    <w:rsid w:val="00B615AB"/>
    <w:rsid w:val="00B62F0E"/>
    <w:rsid w:val="00BB5741"/>
    <w:rsid w:val="00C177F4"/>
    <w:rsid w:val="00C32D99"/>
    <w:rsid w:val="00C35494"/>
    <w:rsid w:val="00C4607B"/>
    <w:rsid w:val="00C55AF4"/>
    <w:rsid w:val="00C6586A"/>
    <w:rsid w:val="00C82AF4"/>
    <w:rsid w:val="00C946C5"/>
    <w:rsid w:val="00CC0B43"/>
    <w:rsid w:val="00CC348D"/>
    <w:rsid w:val="00D12846"/>
    <w:rsid w:val="00D30A48"/>
    <w:rsid w:val="00D31983"/>
    <w:rsid w:val="00D855DC"/>
    <w:rsid w:val="00DB117D"/>
    <w:rsid w:val="00DB3377"/>
    <w:rsid w:val="00E1662B"/>
    <w:rsid w:val="00E16FBE"/>
    <w:rsid w:val="00E406B2"/>
    <w:rsid w:val="00E51B05"/>
    <w:rsid w:val="00EC3842"/>
    <w:rsid w:val="00EC628F"/>
    <w:rsid w:val="00F471AC"/>
    <w:rsid w:val="00F74F0F"/>
    <w:rsid w:val="00F94191"/>
    <w:rsid w:val="00FA5597"/>
    <w:rsid w:val="00FF7E75"/>
    <w:rsid w:val="02856CA8"/>
    <w:rsid w:val="08B6102D"/>
    <w:rsid w:val="0C3C77C2"/>
    <w:rsid w:val="113F222E"/>
    <w:rsid w:val="11511F61"/>
    <w:rsid w:val="13AA67F2"/>
    <w:rsid w:val="15206202"/>
    <w:rsid w:val="186574ED"/>
    <w:rsid w:val="18B947A4"/>
    <w:rsid w:val="18C377A9"/>
    <w:rsid w:val="1D5C7CC4"/>
    <w:rsid w:val="1DB267EB"/>
    <w:rsid w:val="1DB90C77"/>
    <w:rsid w:val="1E05055E"/>
    <w:rsid w:val="2296767D"/>
    <w:rsid w:val="229D3A06"/>
    <w:rsid w:val="27BC5F2F"/>
    <w:rsid w:val="294A30C6"/>
    <w:rsid w:val="3195005E"/>
    <w:rsid w:val="31FC517A"/>
    <w:rsid w:val="32EB1476"/>
    <w:rsid w:val="3A4E007E"/>
    <w:rsid w:val="3F850EA5"/>
    <w:rsid w:val="3FE200A5"/>
    <w:rsid w:val="41BD0482"/>
    <w:rsid w:val="44F52628"/>
    <w:rsid w:val="46D83FB0"/>
    <w:rsid w:val="4E1D7948"/>
    <w:rsid w:val="510D659C"/>
    <w:rsid w:val="57DA1989"/>
    <w:rsid w:val="5D2C7D43"/>
    <w:rsid w:val="63AB4186"/>
    <w:rsid w:val="68DE6C8A"/>
    <w:rsid w:val="6C6E11E8"/>
    <w:rsid w:val="6CDE045D"/>
    <w:rsid w:val="70871AD7"/>
    <w:rsid w:val="727A5D97"/>
    <w:rsid w:val="747B67DD"/>
    <w:rsid w:val="76BD5F61"/>
    <w:rsid w:val="77253244"/>
    <w:rsid w:val="7ABD34A3"/>
    <w:rsid w:val="7B290AA3"/>
    <w:rsid w:val="7B2A2023"/>
    <w:rsid w:val="7C1A4147"/>
    <w:rsid w:val="7FCA19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qFormat="1"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楷体" w:asciiTheme="minorHAnsi" w:hAnsiTheme="minorHAnsi" w:cstheme="minorBidi"/>
      <w:kern w:val="2"/>
      <w:sz w:val="21"/>
      <w:szCs w:val="22"/>
      <w:lang w:val="en-US" w:eastAsia="zh-CN" w:bidi="ar-SA"/>
    </w:rPr>
  </w:style>
  <w:style w:type="paragraph" w:styleId="2">
    <w:name w:val="heading 1"/>
    <w:basedOn w:val="1"/>
    <w:next w:val="1"/>
    <w:link w:val="15"/>
    <w:qFormat/>
    <w:uiPriority w:val="0"/>
    <w:pPr>
      <w:widowControl/>
      <w:adjustRightInd w:val="0"/>
      <w:snapToGrid w:val="0"/>
      <w:spacing w:before="720" w:line="312" w:lineRule="auto"/>
      <w:jc w:val="left"/>
      <w:outlineLvl w:val="0"/>
    </w:pPr>
    <w:rPr>
      <w:rFonts w:ascii="Times New Roman" w:hAnsi="Times New Roman" w:eastAsia="楷体_GB2312" w:cs="Times New Roman"/>
      <w:b/>
      <w:bCs/>
      <w:w w:val="110"/>
      <w:kern w:val="44"/>
      <w:sz w:val="28"/>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Body Text Indent"/>
    <w:basedOn w:val="1"/>
    <w:link w:val="16"/>
    <w:qFormat/>
    <w:uiPriority w:val="0"/>
    <w:pPr>
      <w:ind w:left="378" w:hanging="378" w:hangingChars="180"/>
    </w:pPr>
    <w:rPr>
      <w:rFonts w:ascii="宋体" w:hAnsi="宋体" w:eastAsia="宋体" w:cs="Times New Roman"/>
      <w:szCs w:val="20"/>
    </w:rPr>
  </w:style>
  <w:style w:type="paragraph" w:styleId="5">
    <w:name w:val="Balloon Text"/>
    <w:basedOn w:val="1"/>
    <w:link w:val="14"/>
    <w:semiHidden/>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99"/>
    <w:pPr>
      <w:tabs>
        <w:tab w:val="center" w:pos="4153"/>
        <w:tab w:val="right" w:pos="8306"/>
      </w:tabs>
      <w:snapToGrid w:val="0"/>
      <w:jc w:val="center"/>
    </w:pPr>
    <w:rPr>
      <w:rFonts w:ascii="黑体" w:hAnsi="黑体" w:eastAsia="黑体"/>
      <w:b/>
      <w:sz w:val="28"/>
      <w:szCs w:val="28"/>
    </w:rPr>
  </w:style>
  <w:style w:type="character" w:styleId="10">
    <w:name w:val="line number"/>
    <w:basedOn w:val="9"/>
    <w:semiHidden/>
    <w:unhideWhenUsed/>
    <w:qFormat/>
    <w:uiPriority w:val="99"/>
  </w:style>
  <w:style w:type="character" w:styleId="11">
    <w:name w:val="annotation reference"/>
    <w:basedOn w:val="9"/>
    <w:semiHidden/>
    <w:unhideWhenUsed/>
    <w:qFormat/>
    <w:uiPriority w:val="99"/>
    <w:rPr>
      <w:sz w:val="21"/>
      <w:szCs w:val="21"/>
    </w:rPr>
  </w:style>
  <w:style w:type="character" w:customStyle="1" w:styleId="12">
    <w:name w:val="页眉 字符"/>
    <w:basedOn w:val="9"/>
    <w:link w:val="7"/>
    <w:qFormat/>
    <w:uiPriority w:val="99"/>
    <w:rPr>
      <w:rFonts w:ascii="黑体" w:hAnsi="黑体" w:eastAsia="黑体"/>
      <w:b/>
      <w:sz w:val="28"/>
      <w:szCs w:val="28"/>
    </w:rPr>
  </w:style>
  <w:style w:type="character" w:customStyle="1" w:styleId="13">
    <w:name w:val="页脚 字符"/>
    <w:basedOn w:val="9"/>
    <w:link w:val="6"/>
    <w:qFormat/>
    <w:uiPriority w:val="99"/>
    <w:rPr>
      <w:sz w:val="18"/>
      <w:szCs w:val="18"/>
    </w:rPr>
  </w:style>
  <w:style w:type="character" w:customStyle="1" w:styleId="14">
    <w:name w:val="批注框文本 字符"/>
    <w:basedOn w:val="9"/>
    <w:link w:val="5"/>
    <w:semiHidden/>
    <w:qFormat/>
    <w:uiPriority w:val="99"/>
    <w:rPr>
      <w:sz w:val="18"/>
      <w:szCs w:val="18"/>
    </w:rPr>
  </w:style>
  <w:style w:type="character" w:customStyle="1" w:styleId="15">
    <w:name w:val="标题 1 字符"/>
    <w:basedOn w:val="9"/>
    <w:link w:val="2"/>
    <w:qFormat/>
    <w:uiPriority w:val="0"/>
    <w:rPr>
      <w:rFonts w:ascii="Times New Roman" w:hAnsi="Times New Roman" w:eastAsia="楷体_GB2312" w:cs="Times New Roman"/>
      <w:b/>
      <w:bCs/>
      <w:w w:val="110"/>
      <w:kern w:val="44"/>
      <w:sz w:val="28"/>
      <w:szCs w:val="44"/>
    </w:rPr>
  </w:style>
  <w:style w:type="character" w:customStyle="1" w:styleId="16">
    <w:name w:val="正文文本缩进 字符"/>
    <w:basedOn w:val="9"/>
    <w:link w:val="4"/>
    <w:qFormat/>
    <w:uiPriority w:val="0"/>
    <w:rPr>
      <w:rFonts w:ascii="宋体" w:hAnsi="宋体" w:eastAsia="宋体" w:cs="Times New Roman"/>
      <w:szCs w:val="20"/>
    </w:rPr>
  </w:style>
  <w:style w:type="paragraph" w:styleId="17">
    <w:name w:val="No Spacing"/>
    <w:link w:val="18"/>
    <w:qFormat/>
    <w:uiPriority w:val="1"/>
    <w:rPr>
      <w:rFonts w:asciiTheme="minorHAnsi" w:hAnsiTheme="minorHAnsi" w:eastAsiaTheme="minorEastAsia" w:cstheme="minorBidi"/>
      <w:sz w:val="22"/>
      <w:szCs w:val="22"/>
      <w:lang w:val="en-US" w:eastAsia="zh-CN" w:bidi="ar-SA"/>
    </w:rPr>
  </w:style>
  <w:style w:type="character" w:customStyle="1" w:styleId="18">
    <w:name w:val="无间隔 字符"/>
    <w:basedOn w:val="9"/>
    <w:link w:val="17"/>
    <w:qFormat/>
    <w:uiPriority w:val="1"/>
    <w:rPr>
      <w:kern w:val="0"/>
      <w:sz w:val="22"/>
    </w:rPr>
  </w:style>
  <w:style w:type="paragraph" w:styleId="1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customXml" Target="../customXml/item1.xml"/><Relationship Id="rId15" Type="http://schemas.openxmlformats.org/officeDocument/2006/relationships/image" Target="media/image2.png"/><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F87000B-CA09-4F1B-93E5-FCDCD3F35E89}">
  <ds:schemaRefs/>
</ds:datastoreItem>
</file>

<file path=docProps/app.xml><?xml version="1.0" encoding="utf-8"?>
<Properties xmlns="http://schemas.openxmlformats.org/officeDocument/2006/extended-properties" xmlns:vt="http://schemas.openxmlformats.org/officeDocument/2006/docPropsVTypes">
  <Template>Normal</Template>
  <Pages>9</Pages>
  <Words>1529</Words>
  <Characters>1598</Characters>
  <Lines>34</Lines>
  <Paragraphs>9</Paragraphs>
  <TotalTime>28</TotalTime>
  <ScaleCrop>false</ScaleCrop>
  <LinksUpToDate>false</LinksUpToDate>
  <CharactersWithSpaces>1598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2018-12-20T01:33:00Z</dcterms:created>
  <dc:creator>尼</dc:creator>
  <cp:keywords>wqs</cp:keywords>
  <cp:lastModifiedBy>clq</cp:lastModifiedBy>
  <dcterms:modified xsi:type="dcterms:W3CDTF">2025-08-06T08:38:09Z</dcterms:modified>
  <dc:subject>实用新型</dc:subject>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93604BF65D274F1D848FE2B63F69165C</vt:lpwstr>
  </property>
  <property fmtid="{D5CDD505-2E9C-101B-9397-08002B2CF9AE}" pid="4" name="KSOTemplateDocerSaveRecord">
    <vt:lpwstr>eyJoZGlkIjoiZWI0MzVkMTg2NTA2NzY3ZDBjNjk1NWJlNTMyNzMxY2YiLCJ1c2VySWQiOiI1MTc4MDU1NDMifQ==</vt:lpwstr>
  </property>
</Properties>
</file>