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B211">
      <w:pPr>
        <w:spacing w:line="520" w:lineRule="exact"/>
        <w:ind w:firstLine="561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本实用新型公开一种油茶果剥壳与壳籽筛选一体化设备，属于油茶果加工设备技术领域。设备创新实现剥壳、筛选、循环处理的集成化设计，无需多台设备搭配使用，大幅简化加工流程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一人即可操作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。整机采用轻量化结构，移动、安装调试方便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占地面积仅2.27㎡，空间利用率极高。其适配性极强，可直接加工含水量10%—50%的油茶果，无需对原料进行预处理，通过灵活调整筛网震动频率与风机负压，即可适配不同干湿度的油茶果原料。依托多级筛选结合循环脱壳分选工艺，壳籽分离精度≤0.1%，彻底省去人工分拣环节。设备生产效率突出，每小时产量达2000斤，相较于传统人工挑选模式，可节省80-100名劳动力，显著降低加工成本，适用于各类油茶果加工场景。</w:t>
      </w:r>
    </w:p>
    <w:p w14:paraId="22E6A990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3145" cy="5755640"/>
            <wp:effectExtent l="0" t="0" r="1905" b="1651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57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AE181">
      <w:pPr>
        <w:spacing w:line="520" w:lineRule="exact"/>
        <w:ind w:firstLine="560" w:firstLineChars="200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1.一种油茶果剥壳与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筛选一体化设备，其特征在于：包括壳体（1），所述壳体（1）的一侧开设有侧进料口（2），所述壳体（1）的另一侧开设有出料口（4），所述壳体（1）的顶部开设有顶部进料口（3），所述壳体（1）的内侧壁安装有第一料斗（8），所述第一料斗（8）的顶部与所述顶部进料口（3）连通，所述第一料斗（8）的一侧安装有脱壳机（9），所述壳体（1）的内侧壁位于所述脱壳机（9）的下方安装有第二料斗（10），所述壳体（1）的内侧壁位于所述第二料斗（10）的下方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高频震动双层筛网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（11）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高频震动双层筛网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（11）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上安装有筛板（111），所述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高频震动双层筛网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（11）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下方安装有第五风机（22）。</w:t>
      </w:r>
    </w:p>
    <w:p w14:paraId="7A3D9FD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所述壳体（1）的内侧壁安装有空分机（12），所述空分机（12）的一侧安装有第一风机（13），所述空分机（12）的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下方装有闭风卸料器（24）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空分机（12）的底部安装有第三风机（15），所述空分机（12）的一侧位于所述第一风机（13）的下方安装有第二风机（14），所述第三风机（15）的底部连通有第一吸料口（16），所述空分机（12）的底部连通有第二吸料口（17）。</w:t>
      </w:r>
    </w:p>
    <w:p w14:paraId="3789D3E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2.根据权利要求1所述的一种油茶果剥壳与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筛选一体化设备，其特征在于：所述空分机（12）的后表面固定连接有集尘箱（18），所述集尘箱（18）的一侧连通有排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口（19），所述壳体（1）的内部位于所述集尘箱（18）的下方安装有第四风机（20），所述第四风机（20）的一端连通有回料输送管道（21），所述回料输送管道（21）的一端与所述第一料斗（8）连通。</w:t>
      </w:r>
    </w:p>
    <w:p w14:paraId="2444CDE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3.根据权利要求1所述的一种油茶果剥壳与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筛选一体化设备，其特征在于：所述壳体（1）的底部四角均固定连接有万向轮（5）。</w:t>
      </w:r>
    </w:p>
    <w:p w14:paraId="755BB49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4.根据权利要求1所述的一种油茶果剥壳与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筛选一体化设备，其特征在于：所述壳体（1）的前表面铰接有门体（6），所述门体（6）的前表面安装有控制器（7）。</w:t>
      </w:r>
    </w:p>
    <w:p w14:paraId="2BF1CFA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一种油茶果剥壳与壳籽筛选一体化设备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，其特征在于：所述第一风机（13）、第二风机（14）、第三风机（15）为可调负压风机，负压范围0-5kPa；设备内置10台驱动电机。</w:t>
      </w:r>
    </w:p>
    <w:p w14:paraId="5DDC7E8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一种油茶果剥壳与壳籽筛选一体化设备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，其特征在于：所述高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震动双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筛网（11）震动频率50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80Hz，上层圆孔筛孔径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20-25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mm，下层条形“个”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型筛缝隙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5-7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mm。</w:t>
      </w:r>
    </w:p>
    <w:p w14:paraId="4FDCA07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531815AE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一种油茶果剥壳与壳籽筛选一体化设备</w:t>
      </w:r>
    </w:p>
    <w:p w14:paraId="241A292A">
      <w:pPr>
        <w:bidi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技术领域</w:t>
      </w:r>
    </w:p>
    <w:p w14:paraId="0D16930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油茶果加工设备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一种油茶果剥壳与壳籽筛选一体化设备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BEB7BE1">
      <w:pPr>
        <w:bidi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背景技术</w:t>
      </w:r>
    </w:p>
    <w:p w14:paraId="46F9A991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油茶果加工的核心环节是剥壳与壳籽筛选，现有同类设备存在显著技术局限，严重制约加工效率与产品质量：</w:t>
      </w:r>
    </w:p>
    <w:p w14:paraId="7EC6792F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集成度低，使用不便：传统设备需多台组合才能完成剥壳、筛选工序，体积庞大（长≥3m、宽≥2m、高≥2.5m）、重量超3吨，占地面积大、移动困难，安装调试繁琐，需多人协作操作。</w:t>
      </w:r>
    </w:p>
    <w:p w14:paraId="2B68D93C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干湿度适配性差：仅能加工含水量≤10%的干果，对油茶果干湿度要求严苛，含水量超标时易出现堵料、脱壳不彻底等问题，限制了加工场景。</w:t>
      </w:r>
    </w:p>
    <w:p w14:paraId="570C1ED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分选精度低，人工依赖强：脱壳后油茶籽含壳率高、烂籽率高，需多名工人人工分拣，不仅费时费工，还易漏捡造成浪费，加工成本高。</w:t>
      </w:r>
    </w:p>
    <w:p w14:paraId="3A0D7BA0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能耗高，环保性差：多设备组合运行能耗≥15千瓦/小时，且缺乏封闭设计，加工过程中粉尘飞扬，污染环境。</w:t>
      </w:r>
    </w:p>
    <w:p w14:paraId="3C33A74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现有技术未实现“轻量化+一体化+宽适配+高精度分选”的协同设计，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一种油茶果剥壳与壳籽筛选一体化设备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3BFDCB2">
      <w:pPr>
        <w:bidi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实用新型内容</w:t>
      </w:r>
    </w:p>
    <w:p w14:paraId="73E7F667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一种油茶果剥壳与壳籽筛选一体化设备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6F3DB72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本实用新型的技术方案是这样实现的：一种油茶果剥壳与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筛选一体化设备，包括壳体，所述壳体的一侧开设有侧进料口，所述壳体的另一侧开设有出料口，所述壳体的顶部开设有顶部进料口，所述壳体的内侧壁安装有第一料斗，所述第一料斗的顶部与所述顶部进料口连通，所述第一料斗的一侧安装有脱壳机，所述壳体的内侧壁位于所述脱壳机的下方安装有第二料斗，所述壳体的内侧壁位于所述第二料斗的下方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高频震动双层筛网，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高频震动双层筛网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上安装有“个”字型筛板，所述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高频震动双层筛网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下方安装有第五风机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1BFBE5F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所述壳体的内侧壁安装有空分机，所述空分机的一侧安装有第一风机，所述空分机的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下方装有闭风卸料器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所述空分机的底部安装有第三风机，所述空分机的一侧位于所述第一风机的下方安装有第二风机，所述第三风机的底部连通有第一吸料口，所述空分机的底部连通有第二吸料口。</w:t>
      </w:r>
    </w:p>
    <w:p w14:paraId="5FDA936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所述空分机的后表面固定连接有集尘箱，所述集尘箱的一侧连通有排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口，所述壳体的内部位于所述集尘箱的下方安装有第四风机，所述第四风机的一端连通有回料输送管道，所述回料输送管道的一端与所述第一料斗连通。</w:t>
      </w:r>
    </w:p>
    <w:p w14:paraId="600AA45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所述壳体的底部四角均固定连接有万向轮。</w:t>
      </w:r>
    </w:p>
    <w:p w14:paraId="437B979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所述壳体的前表面铰接有门体，所述门体的前表面安装有控制器。</w:t>
      </w:r>
    </w:p>
    <w:p w14:paraId="1A09436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所述第一风机、第二风机、第三风机为可调负压风机，负压范围0-5kPa；设备内置10台驱动电机。</w:t>
      </w:r>
    </w:p>
    <w:p w14:paraId="0B3A653C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高频震动双层筛网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震动频率50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80Hz，上层圆孔筛孔径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20-25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mm，下层条形“个”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型筛缝隙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5-7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D5036DD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3FA7D8A0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本实用新型集成剥壳、筛选、循环功能，无需多设备组合；轻量化结构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占地面积仅2.27㎡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可加工含水量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10%—50%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的油茶果，通过调整筛网震动频率与风机负压，适配不同干湿度原料，无需预处理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多级筛选+循环脱壳分选，壳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分离精度≤0.1%，无需人工分拣；每小时产量2000斤，较人工节省80-100名劳动力。</w:t>
      </w:r>
    </w:p>
    <w:p w14:paraId="64DDDCF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本实用新型全封闭设计无粉尘污染，10台电机总能耗≤10千瓦/小时，较传统设备节能30%以上，长期使用成本低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核心部件采用高强度材质，高频震动筛网与可调负压风机设计，适配规模化连续加工，使用寿命≥5年。</w:t>
      </w:r>
    </w:p>
    <w:p w14:paraId="34122AD4">
      <w:pPr>
        <w:spacing w:line="500" w:lineRule="exact"/>
        <w:ind w:firstLine="560" w:firstLineChars="200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三、“个”字型筛网更容易将片型茶壳筛分到筛子底部。上边缝隙5毫米，下边缝隙7毫米，起到筛分向下越走越松、越走越宽不会卡壳的作用。</w:t>
      </w:r>
    </w:p>
    <w:p w14:paraId="22C3096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42B2B515">
      <w:pPr>
        <w:bidi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附图说明</w:t>
      </w:r>
    </w:p>
    <w:p w14:paraId="4DB2403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44799B84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350C554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52296238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7C0CD8F8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内部的另一视角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7145B5F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筛板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6C1D1D1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壳体；2、侧进料口；3、顶部进料口；4、出料口；5、万向轮；6、门体；7、控制器；8、第一料斗；9、脱壳机；10、第二料斗；11、高频震动双层筛网；111、筛板；12、空分机；13、第一风机；14、第二风机；15、第三风机；16、第一吸料口；17、第二吸料口；18、集尘箱；19、排杂口；20、第四风机；21、回料输送管道；22、第五风机；23、集尘箱排料口；24、闭风卸料器。</w:t>
      </w:r>
    </w:p>
    <w:p w14:paraId="64EC0D20">
      <w:pPr>
        <w:bidi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具体实施方式</w:t>
      </w:r>
    </w:p>
    <w:p w14:paraId="14C41F58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67CA0B08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698F03F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所示，本实用新型实施例提供了一种油茶果剥壳与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筛选一体化设备，包括壳体1，壳体1的一侧开设有侧进料口2，壳体1的另一侧开设有出料口4，壳体1的顶部开设有顶部进料口3，壳体1的内侧壁安装有第一料斗8，第一料斗8的顶部与顶部进料口3连通，第一料斗8的一侧安装有脱壳机9，壳体1的内侧壁位于脱壳机9的下方安装有第二料斗10，壳体1的内侧壁位于第二料斗10的下方安装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高频震动双层筛网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高频震动双层筛网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上安装有筛板111，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高频震动双层筛网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下方安装有第五风机22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14DB2A2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壳体1的内侧壁安装有空分机12，空分机12的一侧安装有第一风机13，所述空分机12的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下方装有闭风卸料器24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，空分机12的底部安装有第三风机15，空分机12的一侧位于第一风机13的下方安装有第二风机14，第三风机15的底部连通有第一吸料口16，空分机12的底部连通有第二吸料口17。</w:t>
      </w:r>
    </w:p>
    <w:p w14:paraId="6A9D7B0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空分机12的后表面固定连接有集尘箱18，集尘箱18的一侧连通有排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口19，壳体1的内部位于集尘箱18的下方安装有第四风机20，第四风机20的一端连通有回料输送管道21，回料输送管道21的一端与第一料斗8连通。</w:t>
      </w:r>
    </w:p>
    <w:p w14:paraId="5064EEB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壳体1的底部四角均固定连接有万向轮5。</w:t>
      </w:r>
    </w:p>
    <w:p w14:paraId="65D47E0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壳体1的前表面铰接有门体6，门体6的前表面安装有控制器7。</w:t>
      </w:r>
    </w:p>
    <w:p w14:paraId="6080722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第一风机13、第二风机14、第三风机15为可调负压风机，负压范围0-5kPa；设备内置10台驱动电机。</w:t>
      </w:r>
    </w:p>
    <w:p w14:paraId="3014656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在一个实施例中，高频震动双层筛网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11震动频率50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80Hz，上层圆孔筛孔径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20-25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mm，下层条形“个”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型筛缝隙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5-7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4E8DE1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本实用新型在工作时：定量输送机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通过侧进料口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将原料均匀送入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第二料斗10，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壳籽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混合物进入高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震动双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筛网11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上层圆孔筛网分离大果壳、未开荚果及荚带籽壳，大果壳经第一风机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负压吸入集尘箱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；未开荚果与荚带籽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壳通过第四风机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与回料管道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输送至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顶部进料口3流入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第一料斗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8，进入脱壳机9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循环脱壳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下层条形“个”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型筛网分离碎壳、尘土与茶籽，碎壳与尘土集中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通过第五风机22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排入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集尘箱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排出口23排出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；茶籽与较大壳进入第二风机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负压区域分离较轻茶壳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剩余茶籽与重壳进入空分机12，第三风机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通过吸料口负压分离残留茶壳，茶壳吸入集尘箱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排出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；干净茶籽经闭风卸料器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滑出，若仍有少量未分离壳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，回流至上层圆孔筛网循环分选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精选后的茶籽通过出料口4进入分料装包输送机，完成装包，壳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分离精度达壳中含籽率与籽中含壳率≤0.1%。</w:t>
      </w:r>
    </w:p>
    <w:p w14:paraId="35AB08D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19256511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181DD0E2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3145" cy="5755640"/>
            <wp:effectExtent l="0" t="0" r="1905" b="1651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57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896C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7318EB2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3780" cy="6040755"/>
            <wp:effectExtent l="0" t="0" r="1270" b="1714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604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33B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7113BCCA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685" cy="6132830"/>
            <wp:effectExtent l="0" t="0" r="18415" b="127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613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5ECB0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p w14:paraId="00C764F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8225" cy="6546850"/>
            <wp:effectExtent l="0" t="0" r="15875" b="6350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654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1F6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</w:t>
      </w:r>
    </w:p>
    <w:p w14:paraId="3ABD8297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7590" cy="3747770"/>
            <wp:effectExtent l="0" t="0" r="16510" b="508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049F">
      <w:pPr>
        <w:jc w:val="center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图5</w:t>
      </w:r>
      <w:bookmarkStart w:id="0" w:name="_GoBack"/>
      <w:bookmarkEnd w:id="0"/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2E188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165A5161">
    <w:pPr>
      <w:pStyle w:val="6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785B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78158980">
    <w:pPr>
      <w:pStyle w:val="6"/>
      <w:rPr>
        <w:rFonts w:ascii="Arial" w:hAnsi="Arial" w:cs="Arial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55C29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03AEBA02">
    <w:pPr>
      <w:pStyle w:val="6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91C3E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0FD2FDD">
    <w:pPr>
      <w:pStyle w:val="6"/>
      <w:rPr>
        <w:rFonts w:ascii="Arial" w:hAnsi="Arial" w:cs="Arial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4BAC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773F835E">
    <w:pPr>
      <w:pStyle w:val="6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3CE1E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5433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754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4750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6B280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64AE1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4D607D1"/>
    <w:rsid w:val="05D15877"/>
    <w:rsid w:val="06D51397"/>
    <w:rsid w:val="08B6102D"/>
    <w:rsid w:val="0AF0679F"/>
    <w:rsid w:val="0C3C77C2"/>
    <w:rsid w:val="0DF93B82"/>
    <w:rsid w:val="113F222E"/>
    <w:rsid w:val="11511F61"/>
    <w:rsid w:val="186574ED"/>
    <w:rsid w:val="18B947A4"/>
    <w:rsid w:val="1B46065D"/>
    <w:rsid w:val="1B6B12EB"/>
    <w:rsid w:val="1C0A51E7"/>
    <w:rsid w:val="1D5C7CC4"/>
    <w:rsid w:val="1DB267EB"/>
    <w:rsid w:val="1DB90C77"/>
    <w:rsid w:val="1E05055E"/>
    <w:rsid w:val="1E831280"/>
    <w:rsid w:val="1F4B7FF0"/>
    <w:rsid w:val="21332C90"/>
    <w:rsid w:val="22025791"/>
    <w:rsid w:val="225E628C"/>
    <w:rsid w:val="2296767D"/>
    <w:rsid w:val="229D3A06"/>
    <w:rsid w:val="27BC5F2F"/>
    <w:rsid w:val="294A30C6"/>
    <w:rsid w:val="2AA131BA"/>
    <w:rsid w:val="3195005E"/>
    <w:rsid w:val="31FC517A"/>
    <w:rsid w:val="32EB1476"/>
    <w:rsid w:val="3A4E007E"/>
    <w:rsid w:val="3C536A3E"/>
    <w:rsid w:val="3F2A5A1C"/>
    <w:rsid w:val="3F42398C"/>
    <w:rsid w:val="3F67457A"/>
    <w:rsid w:val="3F850EA5"/>
    <w:rsid w:val="3FE200A5"/>
    <w:rsid w:val="415B1EBD"/>
    <w:rsid w:val="41BD0482"/>
    <w:rsid w:val="44F52628"/>
    <w:rsid w:val="46D83FB0"/>
    <w:rsid w:val="4860600B"/>
    <w:rsid w:val="49706721"/>
    <w:rsid w:val="4BCE38CC"/>
    <w:rsid w:val="4E1D7948"/>
    <w:rsid w:val="4F6E725F"/>
    <w:rsid w:val="4F824AB9"/>
    <w:rsid w:val="50E95A2B"/>
    <w:rsid w:val="510D659C"/>
    <w:rsid w:val="535D1AC5"/>
    <w:rsid w:val="53F43F3C"/>
    <w:rsid w:val="57346132"/>
    <w:rsid w:val="57DA1989"/>
    <w:rsid w:val="58953AAF"/>
    <w:rsid w:val="5D2C7D43"/>
    <w:rsid w:val="5D6153C0"/>
    <w:rsid w:val="60397415"/>
    <w:rsid w:val="63AB4186"/>
    <w:rsid w:val="67097409"/>
    <w:rsid w:val="68DE6C8A"/>
    <w:rsid w:val="6C6E11E8"/>
    <w:rsid w:val="6CDE045D"/>
    <w:rsid w:val="70871AD7"/>
    <w:rsid w:val="71A86ADC"/>
    <w:rsid w:val="727A5D97"/>
    <w:rsid w:val="73EB6821"/>
    <w:rsid w:val="747B67DD"/>
    <w:rsid w:val="74982505"/>
    <w:rsid w:val="76BD5F61"/>
    <w:rsid w:val="77253244"/>
    <w:rsid w:val="77FF289B"/>
    <w:rsid w:val="795D57FA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3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9324ffd2-3d5d-4af1-842f-8048a766f1bc</errorID>
      <errorWord>10%-50%</errorWord>
      <group>L1_Knowledge</group>
      <groupName>知识性问题</groupName>
      <ability>L2_Knowledge</ability>
      <abilityName>其他知识</abilityName>
      <candidateList>
        <item>10%—50%</item>
      </candidateList>
      <explain>1. “10%-50%”中的单位“%”仅出现在后一个数字上，容易引起歧义；根据《现代汉语标点符号数字用法规范手册》，数字表示范围两边需要使用统一的格式。2.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B2E23F8</paraID>
      <start>211</start>
      <end>218</end>
      <status>modified</status>
      <modifiedWord>10%—50%</modifiedWord>
      <trackRevisions>false</trackRevisions>
    </reviewItem>
    <reviewItem>
      <errorID>431216c5-6e4f-4f51-aefb-9ec23921c657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 B2E23F8</paraID>
      <start>229</start>
      <end>231</end>
      <status>unmodified</status>
      <modifiedWord/>
      <trackRevisions>false</trackRevisions>
    </reviewItem>
    <reviewItem>
      <errorID>e03d10d6-a096-4c4d-b4db-267f5aa1c22d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 62AE181</paraID>
      <start>235</start>
      <end>237</end>
      <status>unmodified</status>
      <modifiedWord/>
      <trackRevisions>false</trackRevisions>
    </reviewItem>
    <reviewItem>
      <errorID>71938e64-ec8f-4271-b98e-e8285e7efc2f</errorID>
      <errorWord>四风</errorWord>
      <group>L1_Political</group>
      <groupName>政治性问题</groupName>
      <ability>L2_Keyword</ability>
      <abilityName>固定表述</abilityName>
      <candidateList>
        <item>“四风”</item>
      </candidateList>
      <explain>注意检查当前固定表述标点是否使用规范。</explain>
      <paraID>3789D3E0</paraID>
      <start>113</start>
      <end>115</end>
      <status>unmodified</status>
      <modifiedWord/>
      <trackRevisions>false</trackRevisions>
    </reviewItem>
    <reviewItem>
      <errorID>8282b863-30c6-442c-9bdf-9f8de178b5e1</errorID>
      <errorWord>四风</errorWord>
      <group>L1_Political</group>
      <groupName>政治性问题</groupName>
      <ability>L2_Keyword</ability>
      <abilityName>固定表述</abilityName>
      <candidateList>
        <item>“四风”</item>
      </candidateList>
      <explain>注意检查当前固定表述标点是否使用规范。</explain>
      <paraID>3789D3E0</paraID>
      <start>124</start>
      <end>126</end>
      <status>unmodified</status>
      <modifiedWord/>
      <trackRevisions>false</trackRevisions>
    </reviewItem>
    <reviewItem>
      <errorID>db9cf451-cc43-4a2f-8469-d5237cb90af2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5DDC7E85</paraID>
      <start>40</start>
      <end>42</end>
      <status>unmodified</status>
      <modifiedWord/>
      <trackRevisions>false</trackRevisions>
    </reviewItem>
    <reviewItem>
      <errorID>35634166-80d2-409e-84fa-eb20af217206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5DDC7E85</paraID>
      <start>50</start>
      <end>52</end>
      <status>unmodified</status>
      <modifiedWord/>
      <trackRevisions>false</trackRevisions>
    </reviewItem>
    <reviewItem>
      <errorID>157d3e84-a724-4704-a779-0f4544f9c8cd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5DDC7E85</paraID>
      <start>56</start>
      <end>57</end>
      <status>modified</status>
      <modifiedWord>—</modifiedWord>
      <trackRevisions>false</trackRevisions>
    </reviewItem>
    <reviewItem>
      <errorID>b6c9aa43-eb76-4933-90bc-ffbd546235db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5DDC7E85</paraID>
      <start>70</start>
      <end>71</end>
      <status>modified</status>
      <modifiedWord>—</modifiedWord>
      <trackRevisions>false</trackRevisions>
    </reviewItem>
    <reviewItem>
      <errorID>cc3a98e8-f321-486c-8c86-16818ed95b24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5DDC7E85</paraID>
      <start>86</start>
      <end>87</end>
      <status>modified</status>
      <modifiedWord>—</modifiedWord>
      <trackRevisions>false</trackRevisions>
    </reviewItem>
    <reviewItem>
      <errorID>6441a034-6474-4686-9133-371363044097</errorID>
      <errorWord>繁琐</errorWord>
      <group>L1_Word</group>
      <groupName>字词问题</groupName>
      <ability>L2_Typo</ability>
      <abilityName>字词错误</abilityName>
      <candidateList>
        <item>烦琐</item>
      </candidateList>
      <explain/>
      <paraID>7EC6792F</paraID>
      <start>75</start>
      <end>77</end>
      <status>unmodified</status>
      <modifiedWord/>
      <trackRevisions>false</trackRevisions>
    </reviewItem>
    <reviewItem>
      <errorID>6fd8447e-23ea-4aab-9639-e8f0a17902fd</errorID>
      <errorWord>捡</errorWord>
      <group>L1_Word</group>
      <groupName>字词问题</groupName>
      <ability>L2_Typo</ability>
      <abilityName>字词错误</abilityName>
      <candidateList>
        <item>拣</item>
      </candidateList>
      <explain>存在发音相同字词的误用。</explain>
      <paraID>570C1EDE</paraID>
      <start>48</start>
      <end>49</end>
      <status>unmodified</status>
      <modifiedWord/>
      <trackRevisions>false</trackRevisions>
    </reviewItem>
    <reviewItem>
      <errorID>fda5df9a-e90f-4a65-a016-ed8ecdf93ff0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6F3DB720</paraID>
      <start>188</start>
      <end>190</end>
      <status>unmodified</status>
      <modifiedWord/>
      <trackRevisions>false</trackRevisions>
    </reviewItem>
    <reviewItem>
      <errorID>5b32aca2-b2a3-491e-809d-835d728218f0</errorID>
      <errorWord>四风</errorWord>
      <group>L1_Political</group>
      <groupName>政治性问题</groupName>
      <ability>L2_Keyword</ability>
      <abilityName>固定表述</abilityName>
      <candidateList>
        <item>“四风”</item>
      </candidateList>
      <explain>注意检查当前固定表述标点是否使用规范。</explain>
      <paraID>5FDA9364</paraID>
      <start>61</start>
      <end>63</end>
      <status>unmodified</status>
      <modifiedWord/>
      <trackRevisions>false</trackRevisions>
    </reviewItem>
    <reviewItem>
      <errorID>41722693-ccf9-40e9-be49-eb1805a88bf4</errorID>
      <errorWord>四风</errorWord>
      <group>L1_Political</group>
      <groupName>政治性问题</groupName>
      <ability>L2_Keyword</ability>
      <abilityName>固定表述</abilityName>
      <candidateList>
        <item>“四风”</item>
      </candidateList>
      <explain>注意检查当前固定表述标点是否使用规范。</explain>
      <paraID>5FDA9364</paraID>
      <start>68</start>
      <end>70</end>
      <status>unmodified</status>
      <modifiedWord/>
      <trackRevisions>false</trackRevisions>
    </reviewItem>
    <reviewItem>
      <errorID>eb49b856-9442-4f27-b2f0-7d18f35b1f58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 B3A653C</paraID>
      <start>11</start>
      <end>13</end>
      <status>unmodified</status>
      <modifiedWord/>
      <trackRevisions>false</trackRevisions>
    </reviewItem>
    <reviewItem>
      <errorID>3b6e74b5-2af4-43f7-b65b-27a806a8eda0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 B3A653C</paraID>
      <start>17</start>
      <end>19</end>
      <status>unmodified</status>
      <modifiedWord/>
      <trackRevisions>false</trackRevisions>
    </reviewItem>
    <reviewItem>
      <errorID>e5e41788-0fff-49ac-81e3-91173be8ebae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B3A653C</paraID>
      <start>23</start>
      <end>24</end>
      <status>modified</status>
      <modifiedWord>—</modifiedWord>
      <trackRevisions>false</trackRevisions>
    </reviewItem>
    <reviewItem>
      <errorID>17681d45-0948-492a-a281-4d79b7f0fa77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B3A653C</paraID>
      <start>37</start>
      <end>38</end>
      <status>modified</status>
      <modifiedWord>—</modifiedWord>
      <trackRevisions>false</trackRevisions>
    </reviewItem>
    <reviewItem>
      <errorID>7098b7e8-eafe-4f4b-93af-beaac8ede1a2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B3A653C</paraID>
      <start>53</start>
      <end>54</end>
      <status>modified</status>
      <modifiedWord>—</modifiedWord>
      <trackRevisions>false</trackRevisions>
    </reviewItem>
    <reviewItem>
      <errorID>af40b11f-962e-4829-a0e6-4d75370c92ce</errorID>
      <errorWord>10%-50%</errorWord>
      <group>L1_Knowledge</group>
      <groupName>知识性问题</groupName>
      <ability>L2_Knowledge</ability>
      <abilityName>其他知识</abilityName>
      <candidateList>
        <item>10%—50%</item>
      </candidateList>
      <explain>1. “10%-50%”中的单位“%”仅出现在后一个数字上，容易引起歧义；根据《现代汉语标点符号数字用法规范手册》，数字表示范围两边需要使用统一的格式。2.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3FA7D8A0</paraID>
      <start>70</start>
      <end>77</end>
      <status>modified</status>
      <modifiedWord>10%—50%</modifiedWord>
      <trackRevisions>false</trackRevisions>
    </reviewItem>
    <reviewItem>
      <errorID>ceeb7821-36af-4ea7-a995-70d295669db3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3FA7D8A0</paraID>
      <start>88</start>
      <end>90</end>
      <status>unmodified</status>
      <modifiedWord/>
      <trackRevisions>false</trackRevisions>
    </reviewItem>
    <reviewItem>
      <errorID>f3daaf4e-d978-4f61-9567-56fc3a13bf17</errorID>
      <errorWord>震动筛</errorWord>
      <group>L1_Word</group>
      <groupName>字词问题</groupName>
      <ability>L2_Typo</ability>
      <abilityName>字词错误</abilityName>
      <candidateList>
        <item>振动筛</item>
      </candidateList>
      <explain>存在发音相同字词的误用。</explain>
      <paraID>64DDDCF2</paraID>
      <start>70</start>
      <end>73</end>
      <status>unmodified</status>
      <modifiedWord/>
      <trackRevisions>false</trackRevisions>
    </reviewItem>
    <reviewItem>
      <errorID>2236e115-1049-454a-b1b3-ffc4235db509</errorID>
      <errorWord>地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4DB2403A</paraID>
      <start>52</start>
      <end>53</end>
      <status>unmodified</status>
      <modifiedWord/>
      <trackRevisions>false</trackRevisions>
    </reviewItem>
    <reviewItem>
      <errorID>43bf0cd3-a04d-496b-abea-96edbd180251</errorID>
      <errorWord>的另一视角结构图</errorWord>
      <group>L1_Grammar</group>
      <groupName>语法问题</groupName>
      <ability>L2_Order</ability>
      <abilityName>语序不当</abilityName>
      <candidateList>
        <item>结构图的另一视角</item>
      </candidateList>
      <explain>句子可能没有遵循时空、逻辑顺序，或者介词、关联词等位置不当。</explain>
      <paraID>17145B5F</paraID>
      <start>11</start>
      <end>19</end>
      <status>unmodified</status>
      <modifiedWord/>
      <trackRevisions>false</trackRevisions>
    </reviewItem>
    <reviewItem>
      <errorID>2ae1eb6c-68c1-40fe-8615-1f36ccfe35f7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6C1D1D19</paraID>
      <start>74</start>
      <end>76</end>
      <status>unmodified</status>
      <modifiedWord/>
      <trackRevisions>false</trackRevisions>
    </reviewItem>
    <reviewItem>
      <errorID>91f9d91f-cafd-41aa-8bee-15ff43adb8af</errorID>
      <errorWord>排柔</errorWord>
      <group>L1_Word</group>
      <groupName>字词问题</groupName>
      <ability>L2_Typo</ability>
      <abilityName>字词错误</abilityName>
      <candidateList>
        <item>排气</item>
      </candidateList>
      <explain/>
      <paraID>6C1D1D19</paraID>
      <start>140</start>
      <end>142</end>
      <status>unmodified</status>
      <modifiedWord/>
      <trackRevisions>false</trackRevisions>
    </reviewItem>
    <reviewItem>
      <errorID>bcf94e7f-b354-4114-a8f0-cb9e9f4f5c62</errorID>
      <errorWord>四风</errorWord>
      <group>L1_Political</group>
      <groupName>政治性问题</groupName>
      <ability>L2_Keyword</ability>
      <abilityName>固定表述</abilityName>
      <candidateList>
        <item>“四风”</item>
      </candidateList>
      <explain>注意检查当前固定表述标点是否使用规范。</explain>
      <paraID>6C1D1D19</paraID>
      <start>148</start>
      <end>150</end>
      <status>unmodified</status>
      <modifiedWord/>
      <trackRevisions>false</trackRevisions>
    </reviewItem>
    <reviewItem>
      <errorID>75bbd46b-6ffb-4606-a38d-a94199e5a80a</errorID>
      <errorWord>高配</errorWord>
      <group>L1_Word</group>
      <groupName>字词问题</groupName>
      <ability>L2_Typo</ability>
      <abilityName>字词错误</abilityName>
      <candidateList>
        <item>高频</item>
      </candidateList>
      <explain/>
      <paraID>698F03F6</paraID>
      <start>186</start>
      <end>188</end>
      <status>unmodified</status>
      <modifiedWord/>
      <trackRevisions>false</trackRevisions>
    </reviewItem>
    <reviewItem>
      <errorID>53ef4e89-d486-4671-b195-2d51f57ffebc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698F03F6</paraID>
      <start>188</start>
      <end>190</end>
      <status>unmodified</status>
      <modifiedWord/>
      <trackRevisions>false</trackRevisions>
    </reviewItem>
    <reviewItem>
      <errorID>062b1577-871d-446f-a791-87118e3b8663</errorID>
      <errorWord>排柔</errorWord>
      <group>L1_Word</group>
      <groupName>字词问题</groupName>
      <ability>L2_Typo</ability>
      <abilityName>字词错误</abilityName>
      <candidateList>
        <item>排气</item>
      </candidateList>
      <explain/>
      <paraID>6A9D7B07</paraID>
      <start>39</start>
      <end>41</end>
      <status>unmodified</status>
      <modifiedWord/>
      <trackRevisions>false</trackRevisions>
    </reviewItem>
    <reviewItem>
      <errorID>8f721d41-4305-4990-b4ec-5b359b61dc0f</errorID>
      <errorWord>四风</errorWord>
      <group>L1_Political</group>
      <groupName>政治性问题</groupName>
      <ability>L2_Keyword</ability>
      <abilityName>固定表述</abilityName>
      <candidateList>
        <item>“四风”</item>
      </candidateList>
      <explain>注意检查当前固定表述标点是否使用规范。</explain>
      <paraID>6A9D7B07</paraID>
      <start>65</start>
      <end>67</end>
      <status>unmodified</status>
      <modifiedWord/>
      <trackRevisions>false</trackRevisions>
    </reviewItem>
    <reviewItem>
      <errorID>2504a064-4a0b-4d42-97bd-643d2d17b5b0</errorID>
      <errorWord>四风</errorWord>
      <group>L1_Political</group>
      <groupName>政治性问题</groupName>
      <ability>L2_Keyword</ability>
      <abilityName>固定表述</abilityName>
      <candidateList>
        <item>“四风”</item>
      </candidateList>
      <explain>注意检查当前固定表述标点是否使用规范。</explain>
      <paraID>6A9D7B07</paraID>
      <start>72</start>
      <end>74</end>
      <status>unmodified</status>
      <modifiedWord/>
      <trackRevisions>false</trackRevisions>
    </reviewItem>
    <reviewItem>
      <errorID>610249b3-ade4-44fc-97b9-4ccb40270ba7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30146566</paraID>
      <start>10</start>
      <end>12</end>
      <status>unmodified</status>
      <modifiedWord/>
      <trackRevisions>false</trackRevisions>
    </reviewItem>
    <reviewItem>
      <errorID>78989147-1b9e-44a4-ac6a-0d117eb7aa7c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30146566</paraID>
      <start>18</start>
      <end>20</end>
      <status>unmodified</status>
      <modifiedWord/>
      <trackRevisions>false</trackRevisions>
    </reviewItem>
    <reviewItem>
      <errorID>b5017eb7-0eef-415c-9237-849ae2b73dba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30146566</paraID>
      <start>24</start>
      <end>25</end>
      <status>modified</status>
      <modifiedWord>—</modifiedWord>
      <trackRevisions>false</trackRevisions>
    </reviewItem>
    <reviewItem>
      <errorID>53c9047e-d93c-49fe-865b-1d300950b075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30146566</paraID>
      <start>38</start>
      <end>39</end>
      <status>modified</status>
      <modifiedWord>—</modifiedWord>
      <trackRevisions>false</trackRevisions>
    </reviewItem>
    <reviewItem>
      <errorID>a60ca04e-800f-4cdf-a2b7-235a1749bea2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30146566</paraID>
      <start>54</start>
      <end>55</end>
      <status>modified</status>
      <modifiedWord>—</modifiedWord>
      <trackRevisions>false</trackRevisions>
    </reviewItem>
    <reviewItem>
      <errorID>46f55544-9d28-4f4e-a126-47cf104ede87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14E8DE1A</paraID>
      <start>84</start>
      <end>86</end>
      <status>unmodified</status>
      <modifiedWord/>
      <trackRevisions>false</trackRevisions>
    </reviewItem>
    <reviewItem>
      <errorID>36c21bfd-ee73-40e1-a124-aa3c5b46e5a0</errorID>
      <errorWord>四风</errorWord>
      <group>L1_Political</group>
      <groupName>政治性问题</groupName>
      <ability>L2_Keyword</ability>
      <abilityName>固定表述</abilityName>
      <candidateList>
        <item>“四风”</item>
      </candidateList>
      <explain>注意检查当前固定表述标点是否使用规范。</explain>
      <paraID>14E8DE1A</paraID>
      <start>143</start>
      <end>145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0bd76b-df2c-49d9-9c8c-4e48ccb9a287}">
  <ds:schemaRefs/>
</ds:datastoreItem>
</file>

<file path=customXml/itemProps3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873</Words>
  <Characters>918</Characters>
  <Lines>34</Lines>
  <Paragraphs>9</Paragraphs>
  <TotalTime>15</TotalTime>
  <ScaleCrop>false</ScaleCrop>
  <LinksUpToDate>false</LinksUpToDate>
  <CharactersWithSpaces>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2026-02-06T02:22:58Z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eyJoZGlkIjoiZDdmNjlkNGUzN2ZjNjkyYmQyYWJjNjk5YWZkMTNkZGYiLCJ1c2VySWQiOiI1MTc4MDU1NDMifQ==</vt:lpwstr>
  </property>
</Properties>
</file>